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" w:lineRule="exact" w:before="1440" w:after="480"/>
        <w:jc w:val="center"/>
      </w:pPr>
      <w:r>
        <w:rPr>
          <w:rFonts w:ascii="Times New Roman" w:hAnsi="Times New Roman" w:eastAsia="黑体"/>
          <w:b/>
          <w:sz w:val="44"/>
        </w:rPr>
        <w:t>项目研究中期报告</w:t>
      </w:r>
    </w:p>
    <w:p>
      <w:pPr>
        <w:spacing w:before="320"/>
      </w:pPr>
    </w:p>
    <w:p>
      <w:pPr>
        <w:spacing w:before="320"/>
      </w:pPr>
    </w:p>
    <w:p>
      <w:pPr>
        <w:spacing w:before="320"/>
      </w:pPr>
    </w:p>
    <w:p>
      <w:pPr>
        <w:spacing w:line="320" w:lineRule="exact" w:before="1440" w:after="480"/>
        <w:jc w:val="center"/>
      </w:pPr>
      <w:r>
        <w:rPr>
          <w:rFonts w:ascii="Times New Roman" w:hAnsi="Times New Roman" w:eastAsia="黑体"/>
          <w:b/>
          <w:sz w:val="44"/>
        </w:rPr>
        <w:t>LLM云原生分布式推理引擎</w:t>
        <w:br/>
        <w:t>设计与实现</w:t>
      </w:r>
    </w:p>
    <w:p>
      <w:pPr>
        <w:spacing w:before="240"/>
      </w:pPr>
    </w:p>
    <w:p>
      <w:pPr>
        <w:spacing w:before="240"/>
      </w:pPr>
    </w:p>
    <w:p>
      <w:pPr>
        <w:spacing w:line="320" w:lineRule="exact" w:before="200" w:after="200"/>
        <w:jc w:val="center"/>
      </w:pPr>
      <w:r>
        <w:rPr>
          <w:rFonts w:ascii="Times New Roman" w:hAnsi="Times New Roman" w:eastAsia="宋体"/>
          <w:b w:val="0"/>
          <w:sz w:val="32"/>
        </w:rPr>
        <w:t>学    院：[学院名称]</w:t>
      </w:r>
    </w:p>
    <w:p>
      <w:pPr>
        <w:spacing w:line="320" w:lineRule="exact" w:before="200" w:after="200"/>
        <w:jc w:val="center"/>
      </w:pPr>
      <w:r>
        <w:rPr>
          <w:rFonts w:ascii="Times New Roman" w:hAnsi="Times New Roman" w:eastAsia="宋体"/>
          <w:b w:val="0"/>
          <w:sz w:val="32"/>
        </w:rPr>
        <w:t>专    业：[专业名称]</w:t>
      </w:r>
    </w:p>
    <w:p>
      <w:pPr>
        <w:spacing w:line="320" w:lineRule="exact" w:before="200" w:after="200"/>
        <w:jc w:val="center"/>
      </w:pPr>
      <w:r>
        <w:rPr>
          <w:rFonts w:ascii="Times New Roman" w:hAnsi="Times New Roman" w:eastAsia="宋体"/>
          <w:b w:val="0"/>
          <w:sz w:val="32"/>
        </w:rPr>
        <w:t>学生姓名：[姓名]</w:t>
      </w:r>
    </w:p>
    <w:p>
      <w:pPr>
        <w:spacing w:line="320" w:lineRule="exact" w:before="200" w:after="200"/>
        <w:jc w:val="center"/>
      </w:pPr>
      <w:r>
        <w:rPr>
          <w:rFonts w:ascii="Times New Roman" w:hAnsi="Times New Roman" w:eastAsia="宋体"/>
          <w:b w:val="0"/>
          <w:sz w:val="32"/>
        </w:rPr>
        <w:t>学    号：[学号]</w:t>
      </w:r>
    </w:p>
    <w:p>
      <w:pPr>
        <w:spacing w:line="320" w:lineRule="exact" w:before="200" w:after="200"/>
        <w:jc w:val="center"/>
      </w:pPr>
      <w:r>
        <w:rPr>
          <w:rFonts w:ascii="Times New Roman" w:hAnsi="Times New Roman" w:eastAsia="宋体"/>
          <w:b w:val="0"/>
          <w:sz w:val="32"/>
        </w:rPr>
        <w:t>指导教师：[指导教师]</w:t>
      </w:r>
    </w:p>
    <w:p>
      <w:pPr>
        <w:spacing w:line="320" w:lineRule="exact" w:before="200" w:after="200"/>
        <w:jc w:val="center"/>
      </w:pPr>
      <w:r>
        <w:rPr>
          <w:rFonts w:ascii="Times New Roman" w:hAnsi="Times New Roman" w:eastAsia="宋体"/>
          <w:b w:val="0"/>
          <w:sz w:val="32"/>
        </w:rPr>
        <w:t>日    期：2026年4月</w:t>
      </w:r>
    </w:p>
    <w:p>
      <w:r>
        <w:br w:type="page"/>
      </w:r>
    </w:p>
    <w:p>
      <w:pPr>
        <w:spacing w:line="320" w:lineRule="exact" w:before="80" w:after="80"/>
        <w:jc w:val="left"/>
      </w:pPr>
      <w:r>
        <w:rPr>
          <w:rFonts w:ascii="Times New Roman" w:hAnsi="Times New Roman" w:eastAsia="宋体"/>
          <w:b w:val="0"/>
          <w:sz w:val="21"/>
        </w:rPr>
        <w:t>作者简介：[姓名]，[学院名称][专业名称]专业本科生，研究方向为分布式系统与AI推理。</w:t>
      </w:r>
    </w:p>
    <w:p>
      <w:pPr>
        <w:spacing w:line="320" w:lineRule="exact" w:before="240" w:after="120"/>
        <w:jc w:val="left"/>
      </w:pPr>
      <w:r>
        <w:rPr>
          <w:rFonts w:ascii="Times New Roman" w:hAnsi="Times New Roman" w:eastAsia="黑体"/>
          <w:b/>
          <w:sz w:val="28"/>
        </w:rPr>
        <w:t>（一）立项背景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近年来，以GPT-4、LLaMA、Qwen为代表的大语言模型（Large Language Model, LLM）取得了突破性进展，模型参数规模已达数十亿至数千亿级别</w:t>
      </w:r>
      <w:r>
        <w:rPr>
          <w:rFonts w:ascii="Times New Roman" w:hAnsi="Times New Roman" w:eastAsia="宋体"/>
          <w:b w:val="0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sz w:val="24"/>
        </w:rPr>
        <w:t>。这些模型在自然语言理解、生成、推理等任务中展现出强大能力，推动了AI技术在智能客服、内容创作、代码辅助等领域的广泛应用。然而，LLM推理过程对GPU显存的需求极为庞大，例如LLaMA-70B模型推理需要约140GB显存，单张GPU往往难以满足大模型的推理需求</w:t>
      </w:r>
      <w:r>
        <w:rPr>
          <w:rFonts w:ascii="Times New Roman" w:hAnsi="Times New Roman" w:eastAsia="宋体"/>
          <w:b w:val="0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sz w:val="24"/>
        </w:rPr>
        <w:t>。如何在有限的硬件资源下实现高效的分布式推理服务，成为当前学术界和工业界共同关注的热点问题。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当前，主流的LLM推理框架如vLLM</w:t>
      </w:r>
      <w:r>
        <w:rPr>
          <w:rFonts w:ascii="Times New Roman" w:hAnsi="Times New Roman" w:eastAsia="宋体"/>
          <w:b w:val="0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sz w:val="24"/>
        </w:rPr>
        <w:t>、Text Generation Inference (TGI)</w:t>
      </w:r>
      <w:r>
        <w:rPr>
          <w:rFonts w:ascii="Times New Roman" w:hAnsi="Times New Roman" w:eastAsia="宋体"/>
          <w:b w:val="0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sz w:val="24"/>
        </w:rPr>
        <w:t>、TensorRT-LLM</w:t>
      </w:r>
      <w:r>
        <w:rPr>
          <w:rFonts w:ascii="Times New Roman" w:hAnsi="Times New Roman" w:eastAsia="宋体"/>
          <w:b w:val="0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sz w:val="24"/>
        </w:rPr>
        <w:t>等在单节点推理优化方面已取得显著进展。其中vLLM提出的PagedAttention技术将KV Cache分页管理，显著降低了显存碎片；TensorRT-LLM通过算子融合和量化技术实现了极致推理吞吐。但在面对高并发、多用户的实际部署场景时，如何实现高效的分布式推理调度仍是一个亟待解决的问题，具体挑战包括：（1）多节点间的负载均衡问题；（2）节点故障的自动检测与转移；（3）系统运行状态的实时监控与告警；（4）GPU资源的弹性调度与利用率优化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云原生技术（Docker、Kubernetes等）为AI推理的容器化和微服务化提供了技术基础</w:t>
      </w:r>
      <w:r>
        <w:rPr>
          <w:rFonts w:ascii="Times New Roman" w:hAnsi="Times New Roman" w:eastAsia="宋体"/>
          <w:b w:val="0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sz w:val="24"/>
        </w:rPr>
        <w:t>。微服务架构通过将系统拆分为独立部署的服务单元，实现了松耦合、高内聚的设计目标</w:t>
      </w:r>
      <w:r>
        <w:rPr>
          <w:rFonts w:ascii="Times New Roman" w:hAnsi="Times New Roman" w:eastAsia="宋体"/>
          <w:b w:val="0"/>
          <w:sz w:val="24"/>
          <w:vertAlign w:val="superscript"/>
        </w:rPr>
        <w:t>[7]</w:t>
      </w:r>
      <w:r>
        <w:rPr>
          <w:rFonts w:ascii="Times New Roman" w:hAnsi="Times New Roman" w:eastAsia="宋体"/>
          <w:b w:val="0"/>
          <w:sz w:val="24"/>
        </w:rPr>
        <w:t>。将LLM推理与云原生架构相结合，构建分布式推理调度引擎，对于提升GPU资源利用率、降低推理延迟、实现弹性扩展具有重要的理论价值和实际意义。本项目旨在设计并实现一个基于微服务架构的LLM云原生分布式推理调度引擎，通过多策略负载均衡、自动故障转移和实时监控告警机制，为LLM的高效部署提供完整的解决方案。</w:t>
      </w:r>
    </w:p>
    <w:p>
      <w:pPr>
        <w:spacing w:line="320" w:lineRule="exact" w:before="240" w:after="120"/>
        <w:jc w:val="left"/>
      </w:pPr>
      <w:r>
        <w:rPr>
          <w:rFonts w:ascii="Times New Roman" w:hAnsi="Times New Roman" w:eastAsia="黑体"/>
          <w:b/>
          <w:sz w:val="28"/>
        </w:rPr>
        <w:t>（二）项目研究内容及实施方案</w:t>
      </w:r>
    </w:p>
    <w:p>
      <w:pPr>
        <w:spacing w:line="320" w:lineRule="exact" w:before="120" w:after="80"/>
        <w:jc w:val="left"/>
      </w:pPr>
      <w:r>
        <w:rPr>
          <w:rFonts w:ascii="Times New Roman" w:hAnsi="Times New Roman" w:eastAsia="黑体"/>
          <w:b/>
          <w:sz w:val="24"/>
        </w:rPr>
        <w:t>1. 研究内容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本项目以LLM分布式推理为研究对象，以云原生微服务架构为技术路线，设计并实现一个支持多策略负载均衡、自动故障转移和实时监控的分布式推理调度引擎。研究内容主要包括以下四个方面：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（1）分布式推理架构设计：采用微服务架构，将系统拆分为API网关（Gateway）、调度器（Scheduler）、推理节点（Inference Node）和监控服务（Monitoring）四个核心服务，通过RESTful API进行服务间通信，使用统一Pydantic数据模型（20余个Schema）实现跨服务数据校验，实现松耦合的系统设计。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（2）多策略负载均衡调度：设计并实现轮询（Round Robin）、最少连接（Least Connections）和加权轮询（Weighted Round Robin）三种负载均衡策略，采用策略模式（Strategy Pattern）实现策略的运行时热切换，满足不同负载场景下的调度需求。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容错与高可用机制：基于心跳机制实现节点健康监测，当节点故障时自动将其标记为不可用并将请求路由到健康节点；在网关层实现带指数退避的重试机制（最多3次重试，等待时间按0.1×2^n秒递增），确保请求的可靠处理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（4）可观测性体系构建：实现轻量级的指标采集与告警系统，以15秒间隔采集各服务的QPS、延迟、成功率等关键指标，支持基于规则的可配置告警；同时集成Prometheus+Grafana监控栈，提供更丰富的可视化能力。</w:t>
      </w:r>
    </w:p>
    <w:p>
      <w:pPr>
        <w:spacing w:line="320" w:lineRule="exact" w:before="120" w:after="80"/>
        <w:jc w:val="left"/>
      </w:pPr>
      <w:r>
        <w:rPr>
          <w:rFonts w:ascii="Times New Roman" w:hAnsi="Times New Roman" w:eastAsia="黑体"/>
          <w:b/>
          <w:sz w:val="24"/>
        </w:rPr>
        <w:t>2. 实施方案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项目采用Python技术栈，后端基于FastAPI框架构建异步RESTful服务，数据模型使用Pydantic进行统一校验，持久化层采用SQLite WAL模式配合aiosqlite异步驱动。推理节点通过HTTP代理对接vLLM推理引擎，支持OpenAI兼容的/v1/chat/completions接口。前端采用Vue.js 3 + Element Plus构建四套独立管理界面。部署方面，采用Docker Compose进行多容器编排，并配置Prometheus+Grafana监控栈。整体实施路线为：需求分析与架构设计→核心模块开发→前端界面开发→集成测试→性能优化→文档撰写。</w:t>
      </w:r>
    </w:p>
    <w:p>
      <w:pPr>
        <w:spacing w:line="320" w:lineRule="exact"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[系统总体架构示意图]</w:t>
      </w:r>
    </w:p>
    <w:p>
      <w:pPr>
        <w:spacing w:line="320" w:lineRule="exact" w:before="40" w:after="160"/>
        <w:jc w:val="center"/>
      </w:pPr>
      <w:r>
        <w:rPr>
          <w:rFonts w:ascii="Times New Roman" w:hAnsi="Times New Roman" w:eastAsia="黑体"/>
          <w:b/>
          <w:sz w:val="21"/>
        </w:rPr>
        <w:t>图1 系统总体架构图</w:t>
      </w:r>
    </w:p>
    <w:p>
      <w:pPr>
        <w:spacing w:line="320" w:lineRule="exact" w:before="240" w:after="120"/>
        <w:jc w:val="left"/>
      </w:pPr>
      <w:r>
        <w:rPr>
          <w:rFonts w:ascii="Times New Roman" w:hAnsi="Times New Roman" w:eastAsia="黑体"/>
          <w:b/>
          <w:sz w:val="28"/>
        </w:rPr>
        <w:t>（三）项目进展情况</w:t>
      </w:r>
    </w:p>
    <w:p>
      <w:pPr>
        <w:spacing w:line="320" w:lineRule="exact" w:before="120" w:after="80"/>
        <w:jc w:val="left"/>
      </w:pPr>
      <w:r>
        <w:rPr>
          <w:rFonts w:ascii="Times New Roman" w:hAnsi="Times New Roman" w:eastAsia="黑体"/>
          <w:b/>
          <w:sz w:val="24"/>
        </w:rPr>
        <w:t>1. 已完成的工作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目前已完成系统的整体设计与核心功能开发，包括后端服务、前端界面、容器化部署和监控体系四个层面的工作。系统采用微服务架构，包含Gateway（8080端口）、Scheduler（8001端口）、Inference Node（8003/8004/8007端口）和Monitoring（8002端口）四个核心服务。各服务独立部署，通过RESTful API通信，使用内部Token进行服务间认证。系统数据流为：用户请求→Gateway认证→Scheduler选节点→Inference Node代理vLLM推理→返回响应。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实现了基于策略模式（Strategy Pattern）的调度引擎，设计了抽象基类SchedulingStrategy，并实现了三种具体策略：（1）RoundRobinStrategy使用itertools.count()原子计数器实现轮询分配，时间复杂度O(1)；（2）LeastConnectionsStrategy通过min(nodes, key=active_connections)选择负载最轻的节点；（3）WeightedRoundRobinStrategy采用random.choices()进行加权随机选择，设置最小权重阈值0.001避免除零错误。策略管理器（manager.py）维护全局策略实例，通过set_strategy()函数实现运行时热切换，当前策略配置持久化至SQLite数据库，服务重启后自动恢复。</w:t>
      </w:r>
    </w:p>
    <w:p>
      <w:pPr>
        <w:spacing w:line="320" w:lineRule="exact"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[策略模式类图]</w:t>
      </w:r>
    </w:p>
    <w:p>
      <w:pPr>
        <w:spacing w:line="320" w:lineRule="exact" w:before="40" w:after="160"/>
        <w:jc w:val="center"/>
      </w:pPr>
      <w:r>
        <w:rPr>
          <w:rFonts w:ascii="Times New Roman" w:hAnsi="Times New Roman" w:eastAsia="黑体"/>
          <w:b/>
          <w:sz w:val="21"/>
        </w:rPr>
        <w:t>图2 调度策略引擎UML类图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网关服务实现了完整的认证与请求路由体系。认证方面，采用JWT+bcrypt方案，HS256算法签名，Token有效期60分钟，支持admin/user两级RBAC角色权限控制，并通过RoleChecker依赖注入实现接口级鉴权。用户管理方面，实现了用户注册、登录、激活/停用、密码修改等完整CRUD功能，管理员可查看和管理所有用户。请求转发方面，实现了智能重试机制：最大重试3次，仅对502/503/504状态码触发重试，采用指数退避策略（等待时间0.1×2^attempt秒），维护节点排除列表避免重复转发到故障节点。此外，实现了"auto"模型名自动解析，网关在转发请求前从目标节点/v1/models端点获取实际可用模型名，对用户屏蔽底层差异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推理节点服务实现了vLLM HTTP反向代理，支持模型名首次查询后缓存、180秒推理超时、异步安全的活跃连接计数器。节点启动时自动向Scheduler发送POST /api/nodes/register完成自注册，注册过程采用指数退避重试（最多10次，最大等待30秒）。注册成功后以10秒间隔发送心跳，上报active_connections、status、gpu_util、memory_used_gb等状态信息。Scheduler端维护异步安全的NodeRegistry，后台任务每5秒扫描，30秒无心跳则标记为unhealthy，支持healthy/unhealthy/draining三种节点状态。</w:t>
      </w:r>
    </w:p>
    <w:p>
      <w:pPr>
        <w:spacing w:line="320" w:lineRule="exact" w:before="160" w:after="80"/>
        <w:jc w:val="center"/>
      </w:pPr>
      <w:r>
        <w:rPr>
          <w:rFonts w:ascii="Times New Roman" w:hAnsi="Times New Roman" w:eastAsia="黑体"/>
          <w:b/>
          <w:sz w:val="21"/>
        </w:rPr>
        <w:t>表1 核心服务功能一览表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服务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端口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核心功能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Gateway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8080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JWT认证、请求路由、重试转发、用户管理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Scheduler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节点注册、策略调度、心跳监测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Inference Node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8003/8004/8007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vLLM代理、心跳上报、连接计数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Monitoring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指标采集(15s)、告警引擎、时序聚合</w:t>
            </w:r>
          </w:p>
        </w:tc>
      </w:tr>
    </w:tbl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监控服务实现了完整的指标采集与告警体系。指标采集器以15秒间隔从各服务/metrics/json端点拉取QPS、延迟（p50/p95）、成功率、活跃连接数、GPU利用率等关键指标，支持从Scheduler动态发现新增节点。告警引擎支持基于规则的告警配置，每条规则包含metric、operator（gt/lt/eq）、threshold和window_s四个维度，采用滑动窗口聚合和去重触发机制避免重复告警。时序数据按分钟分桶聚合存储，提供15m/1h/6h/24h/7d五种查询范围。此外，在deploy/目录中配置了Prometheus+Grafana监控栈，包含预配置的数据源和仪表盘，可通过docker compose一键启动，为系统提供更专业的可视化监控能力。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完成了完整的容器化部署方案。Docker Compose编排包含5个服务定义，使用桥接网络llm-net实现服务间通信，命名卷持久化数据。每个服务配置了健康检查（10秒间隔、5秒超时、5次重试）和依赖关系，确保启动顺序正确。推理节点通过host.docker.internal访问宿主机vLLM实例。采用多阶段Dockerfile：第一阶段使用Node.js 20 Alpine构建Vue.js前端，第二阶段使用Python 3.11 Slim运行FastAPI服务，构建产物嵌入静态目录。开发了start_local.py本地启动脚本，支持端口冲突检测、Windows GBK编码兼容和一键启动6个服务进程（含3个推理节点，分别部署Qwen3-0.6B、TinyLlama-1.1B和远程Qwen2.5-7B模型）。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完成了4套独立的Vue.js 3 + Element Plus管理界面，采用暗色主题和SPA架构，构建产物嵌入各服务的FastAPI静态目录，通过SPA fallback路由实现前端路由。Gateway前端包含Chat交互界面（支持温度、最大token、top-p参数调节）、请求历史查看、管理员用户管理；Scheduler前端包含节点注册/注销管理、策略热切换配置、调度日志查看；Monitoring前端包含实时仪表盘（QPS/延迟/成功率KPI）、历史趋势图、节点性能对比、告警规则管理；Inference Node前端包含本地模型测试、模型信息查看、请求日志与统计。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开发了完善的测试与基准测试工具。端到端测试脚本（test_e2e.py）覆盖8项功能测试，包括健康检查、用户注册登录、推理请求、历史隔离、管理员权限、授权校验和节点列表查询。基准测试脚本（benchmark.py）支持并发负载测试和策略对比实验，可配置请求数量和并发批次，采集延迟统计（平均/最大/最小）、token吞吐量、成功率、节点分配分布等关键指标，并输出彩色统计报告。</w:t>
      </w:r>
    </w:p>
    <w:p>
      <w:pPr>
        <w:spacing w:line="320" w:lineRule="exact" w:before="120" w:after="80"/>
        <w:jc w:val="left"/>
      </w:pPr>
      <w:r>
        <w:rPr>
          <w:rFonts w:ascii="Times New Roman" w:hAnsi="Times New Roman" w:eastAsia="黑体"/>
          <w:b/>
          <w:sz w:val="24"/>
        </w:rPr>
        <w:t>2. 遇到的困难与解决方案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vLLM模型名不一致问题：不同推理节点部署的模型不同（Qwen3-0.6B、TinyLlama-1.1B、Qwen2.5-7B），用户无法预先知道目标节点支持哪个模型。解决方案：在Gateway的retry.py中实现\"auto\"模型自动解析，网关在转发请求前从目标节点GET /api/model获取实际模型名并替换payload中的model字段，对用户完全屏蔽底层差异。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节点故障检测的灵敏度与误判矛盾：初始方案使用固定频率心跳检测，在网络短暂波动时容易产生误判将健康节点标记为不可用。解决方案：引入TTL机制（30秒超时阈值），将检测间隔（5秒扫描）与判定阈值解耦；同时推理节点自注册采用指数退避重试（最多10次），网络恢复后可自动重新注册，平衡了检测灵敏度和容错能力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（3）策略切换导致服务中断：早期设计中切换调度策略需要重启Scheduler服务。解决方案：采用策略模式（Strategy Pattern）重构调度引擎，通过全局变量和set_strategy()函数实现运行时热切换，策略选择通过管理员API即时生效，同时将策略配置持久化到SQLite数据库，服务重启后自动恢复上次选择的策略。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前端与后端的集成部署：各服务前端独立构建，需要与FastAPI后端无缝集成。解决方案：采用多阶段Dockerfile，第一阶段在Node.js环境构建Vue.js前端产物，第二阶段将构建结果复制到Python运行时镜像的/static目录，FastAPI通过StaticFiles中间件和SPA fallback路由提供前端服务，实现了前后端的一体化部署。</w:t>
      </w:r>
    </w:p>
    <w:p>
      <w:pPr>
        <w:spacing w:line="320" w:lineRule="exact" w:before="120" w:after="80"/>
        <w:jc w:val="left"/>
      </w:pPr>
      <w:r>
        <w:rPr>
          <w:rFonts w:ascii="Times New Roman" w:hAnsi="Times New Roman" w:eastAsia="黑体"/>
          <w:b/>
          <w:sz w:val="24"/>
        </w:rPr>
        <w:t>3. 下一步工作计划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（1）实现SSE（Server-Sent Events）流式推理支持，使模型能够逐token输出中间结果，提升用户交互体验，降低首token响应时间。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（2）开发GPU感知调度策略，基于GPU利用率、显存使用率和KV Cache占用率进行智能调度决策，避免将请求分配到资源紧张的节点。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（3）集成OpenTelemetry分布式追踪，实现从Gateway到Inference Node的全链路请求追踪和性能瓶颈分析。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（4）实现基于负载指标的弹性伸缩机制，当GPU利用率超过阈值时自动扩容推理节点，低负载时自动缩容以节约资源。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（5）完善性能测试与压力测试，使用benchmark.py采集三种策略在不同并发度下的真实实验数据，撰写完整的实验分析章节。</w:t>
      </w:r>
    </w:p>
    <w:p>
      <w:pPr>
        <w:spacing w:line="320" w:lineRule="exact" w:before="240" w:after="120"/>
        <w:jc w:val="left"/>
      </w:pPr>
      <w:r>
        <w:rPr>
          <w:rFonts w:ascii="Times New Roman" w:hAnsi="Times New Roman" w:eastAsia="黑体"/>
          <w:b/>
          <w:sz w:val="28"/>
        </w:rPr>
        <w:t>（四）结题预期目标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本项目预期在结题时达到以下目标：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系统功能完整性：完成包含API网关、调度引擎、推理节点和监控服务在内的完整分布式推理调度系统，支持多用户并发访问、多模型推理（Qwen3-0.6B、TinyLlama-1.1B、Qwen2.5-7B）、多策略负载均衡及运行时热切换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（2）高可用与容错：系统具备节点故障自动检测与转移能力，单节点故障不影响整体服务可用性，通过心跳监测（30秒超时）和重试机制（3次指数退避）保障请求成功率≥99%。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（3）性能指标：调度决策延迟≤10ms，网关层认证与路由额外开销≤5ms，监控采集对系统性能影响可忽略（CPU占用&lt;1%），三种调度策略在不同负载下均能实现合理的请求分配。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（4）可扩展性：支持动态增删推理节点，新增节点可在30秒内完成自注册并开始接收请求，无需重启任何已有服务。Docker Compose一键部署，Prometheus+Grafana提供标准化监控能力。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学术成果：完成毕业论文一篇，包含完整的系统设计、关键技术实现（策略模式调度引擎、指数退避重试、心跳容错、告警引擎）、基准测试数据分析和文献综述，力争在LLM推理调度领域提出有价值的实践参考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当前项目已完成核心功能开发与集成测试，系统已可通过Docker Compose一键部署并稳定运行。后续工作主要集中在流式推理支持、GPU感知调度和性能优化三个方面，技术路线清晰，工作量可控。按照当前进度，项目按期完成的可能性较高。</w:t>
      </w:r>
    </w:p>
    <w:p>
      <w:pPr>
        <w:spacing w:line="320" w:lineRule="exact" w:before="240" w:after="120"/>
        <w:jc w:val="left"/>
      </w:pPr>
      <w:r>
        <w:rPr>
          <w:rFonts w:ascii="Times New Roman" w:hAnsi="Times New Roman" w:eastAsia="黑体"/>
          <w:b/>
          <w:sz w:val="28"/>
        </w:rPr>
        <w:t>（五）经费使用情况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本项目经费使用主要用于以下几个方面：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（1）计算资源：租赁GPU服务器用于模型推理实验和性能测试，包括本地NVIDIA GPU和远程Qwen2.5-7B推理服务器。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（2）云服务：Docker镜像仓库、CI/CD流水线等云原生基础设施。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（3）文献资料：购买相关学术论文和技术书籍。</w:t>
      </w:r>
    </w:p>
    <w:p>
      <w:pPr>
        <w:spacing w:line="32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（4）其他：学术交流、论文打印等杂项支出。</w:t>
      </w:r>
    </w:p>
    <w:p>
      <w:pPr>
        <w:spacing w:line="320" w:lineRule="exact" w:before="160" w:after="80"/>
        <w:jc w:val="center"/>
      </w:pPr>
      <w:r>
        <w:rPr>
          <w:rFonts w:ascii="Times New Roman" w:hAnsi="Times New Roman" w:eastAsia="黑体"/>
          <w:b/>
          <w:sz w:val="21"/>
        </w:rPr>
        <w:t>表2 经费使用明细表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支出项目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预算(元)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已使用(元)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用途说明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GPU计算资源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模型推理实验与性能测试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云服务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容器镜像与CI/CD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文献资料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论文与技术书籍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打印与交流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r>
        <w:br w:type="page"/>
      </w:r>
    </w:p>
    <w:p>
      <w:pPr>
        <w:spacing w:line="320" w:lineRule="exact" w:before="240" w:after="120"/>
        <w:jc w:val="left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20" w:lineRule="exact" w:before="20" w:after="20"/>
        <w:jc w:val="both"/>
      </w:pPr>
      <w:r>
        <w:rPr>
          <w:rFonts w:ascii="Times New Roman" w:hAnsi="Times New Roman" w:eastAsia="宋体"/>
          <w:b w:val="0"/>
          <w:sz w:val="21"/>
        </w:rPr>
        <w:t>[1] OpenAI. GPT-4 Technical Report[J]. arXiv preprint arXiv:2303.08774, 2023.</w:t>
      </w:r>
    </w:p>
    <w:p>
      <w:pPr>
        <w:spacing w:line="320" w:lineRule="exact" w:before="20" w:after="20"/>
        <w:jc w:val="both"/>
      </w:pPr>
      <w:r>
        <w:rPr>
          <w:rFonts w:ascii="Times New Roman" w:hAnsi="Times New Roman" w:eastAsia="宋体"/>
          <w:b w:val="0"/>
          <w:sz w:val="21"/>
        </w:rPr>
        <w:t>[2] Touvron H, Lavril T, Izacard G, et al. LLaMA: Open and Efficient Foundation Language Models[J]. arXiv preprint arXiv:2302.13971, 2023.</w:t>
      </w:r>
    </w:p>
    <w:p>
      <w:pPr>
        <w:spacing w:line="320" w:lineRule="exact" w:before="20" w:after="20"/>
        <w:jc w:val="both"/>
      </w:pPr>
      <w:r>
        <w:rPr>
          <w:rFonts w:ascii="Times New Roman" w:hAnsi="Times New Roman" w:eastAsia="宋体"/>
          <w:b w:val="0"/>
          <w:sz w:val="21"/>
        </w:rPr>
        <w:t>[3] Kwon W, Li Z, Zhuang S, et al. Efficient Memory Management for Large Language Model Serving with PagedAttention[C]//SOSP. 2023: 611-626.</w:t>
      </w:r>
    </w:p>
    <w:p>
      <w:pPr>
        <w:spacing w:line="320" w:lineRule="exact" w:before="20" w:after="20"/>
        <w:jc w:val="both"/>
      </w:pPr>
      <w:r>
        <w:rPr>
          <w:rFonts w:ascii="Times New Roman" w:hAnsi="Times New Roman" w:eastAsia="宋体"/>
          <w:b w:val="0"/>
          <w:sz w:val="21"/>
        </w:rPr>
        <w:t>[4] Hugging Face. Text Generation Inference[EB/OL]. https://github.com/huggingface/text-generation-inference, 2024.</w:t>
      </w:r>
    </w:p>
    <w:p>
      <w:pPr>
        <w:spacing w:line="320" w:lineRule="exact" w:before="20" w:after="20"/>
        <w:jc w:val="both"/>
      </w:pPr>
      <w:r>
        <w:rPr>
          <w:rFonts w:ascii="Times New Roman" w:hAnsi="Times New Roman" w:eastAsia="宋体"/>
          <w:b w:val="0"/>
          <w:sz w:val="21"/>
        </w:rPr>
        <w:t>[5] NVIDIA. TensorRT-LLM: High-Performance LLM Inference Engine[EB/OL]. https://github.com/NVIDIA/TensorRT-LLM, 2024.</w:t>
      </w:r>
    </w:p>
    <w:p>
      <w:pPr>
        <w:spacing w:line="320" w:lineRule="exact" w:before="20" w:after="20"/>
        <w:jc w:val="both"/>
      </w:pPr>
      <w:r>
        <w:rPr>
          <w:rFonts w:ascii="Times New Roman" w:hAnsi="Times New Roman" w:eastAsia="宋体"/>
          <w:b w:val="0"/>
          <w:sz w:val="21"/>
        </w:rPr>
        <w:t>[6] Newman S. Building Microservices: Designing Fine-Grained Systems[M]. 2nd ed. O'Reilly Media, 2021.</w:t>
      </w:r>
    </w:p>
    <w:p>
      <w:pPr>
        <w:spacing w:line="320" w:lineRule="exact" w:before="20" w:after="20"/>
        <w:jc w:val="both"/>
      </w:pPr>
      <w:r>
        <w:rPr>
          <w:rFonts w:ascii="Times New Roman" w:hAnsi="Times New Roman" w:eastAsia="宋体"/>
          <w:b w:val="0"/>
          <w:sz w:val="21"/>
        </w:rPr>
        <w:t>[7] Fielding R T. Architectural Styles and the Design of Network-based Software Architectures[D]. University of California, Irvine, 2000.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43" w:type="linesAndChars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