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056"/>
        <w:gridCol w:w="2736"/>
      </w:tblGrid>
      <w:tr>
        <w:tc>
          <w:tcPr>
            <w:tcW w:type="dxa" w:w="7056"/>
            <w:shd w:fill="0B454A"/>
            <w:tcMar>
              <w:top w:w="100" w:type="dxa"/>
              <w:start w:w="180" w:type="dxa"/>
              <w:bottom w:w="100" w:type="dxa"/>
              <w:end w:w="180" w:type="dxa"/>
            </w:tcMar>
            <w:vAlign w:val="center"/>
            <w:tcBorders>
              <w:top w:val="single" w:sz="0" w:color="0B454A"/>
              <w:left w:val="single" w:sz="0" w:color="0B454A"/>
              <w:bottom w:val="single" w:sz="0" w:color="0B454A"/>
              <w:right w:val="single" w:sz="0" w:color="0B454A"/>
              <w:insideH w:val="single" w:sz="0" w:color="0B454A"/>
              <w:insideV w:val="single" w:sz="0" w:color="0B454A"/>
            </w:tcBorders>
          </w:tcPr>
          <w:p>
            <w:pPr>
              <w:spacing w:after="0"/>
            </w:pPr>
            <w:r>
              <w:rPr>
                <w:rFonts w:ascii="Georgia" w:hAnsi="Georgia"/>
                <w:b/>
                <w:color w:val="FFFFFF"/>
                <w:sz w:val="36"/>
              </w:rPr>
              <w:t xml:space="preserve">Beyond </w:t>
            </w:r>
            <w:r>
              <w:rPr>
                <w:rFonts w:ascii="Georgia" w:hAnsi="Georgia"/>
                <w:b/>
                <w:color w:val="F56D57"/>
                <w:sz w:val="36"/>
              </w:rPr>
              <w:t>the Call</w:t>
            </w:r>
          </w:p>
        </w:tc>
        <w:tc>
          <w:tcPr>
            <w:tcW w:type="dxa" w:w="2736"/>
            <w:shd w:fill="0B454A"/>
            <w:tcMar>
              <w:top w:w="100" w:type="dxa"/>
              <w:start w:w="180" w:type="dxa"/>
              <w:bottom w:w="100" w:type="dxa"/>
              <w:end w:w="180" w:type="dxa"/>
            </w:tcMar>
            <w:vAlign w:val="center"/>
            <w:tcBorders>
              <w:top w:val="single" w:sz="0" w:color="0B454A"/>
              <w:left w:val="single" w:sz="0" w:color="0B454A"/>
              <w:bottom w:val="single" w:sz="0" w:color="0B454A"/>
              <w:right w:val="single" w:sz="0" w:color="0B454A"/>
              <w:insideH w:val="single" w:sz="0" w:color="0B454A"/>
              <w:insideV w:val="single" w:sz="0" w:color="0B454A"/>
            </w:tcBorders>
          </w:tcPr>
          <w:p>
            <w:pPr>
              <w:spacing w:after="0"/>
              <w:jc w:val="right"/>
            </w:pPr>
            <w:r>
              <w:rPr>
                <w:rFonts w:ascii="Arial" w:hAnsi="Arial"/>
                <w:b/>
                <w:color w:val="FFFFFF"/>
                <w:sz w:val="18"/>
              </w:rPr>
              <w:t>TRAINER GUIDE</w:t>
              <w:br/>
            </w:r>
            <w:r>
              <w:rPr>
                <w:rFonts w:ascii="Arial" w:hAnsi="Arial"/>
                <w:color w:val="FFFFFF"/>
                <w:sz w:val="15"/>
              </w:rPr>
              <w:t>A real conversation. A bigger story.</w:t>
            </w:r>
          </w:p>
        </w:tc>
      </w:tr>
    </w:tbl>
    <w:p>
      <w:pPr>
        <w:spacing w:after="20"/>
      </w:pPr>
    </w:p>
    <w:p>
      <w:pPr>
        <w:spacing w:after="40"/>
      </w:pPr>
      <w:r>
        <w:rPr>
          <w:rFonts w:ascii="Georgia" w:hAnsi="Georgia"/>
          <w:b/>
          <w:color w:val="0B454A"/>
          <w:sz w:val="50"/>
        </w:rPr>
        <w:t>Activity Guide</w:t>
      </w:r>
    </w:p>
    <w:p>
      <w:pPr>
        <w:spacing w:after="200"/>
      </w:pPr>
      <w:r>
        <w:rPr>
          <w:rFonts w:ascii="Arial" w:hAnsi="Arial"/>
          <w:color w:val="5C7476"/>
          <w:sz w:val="22"/>
        </w:rPr>
        <w:t>Icebreaker and four activities | Beyond the Call</w:t>
      </w:r>
    </w:p>
    <w:p>
      <w:pPr>
        <w:spacing w:after="240"/>
      </w:pPr>
      <w:r>
        <w:t>This guide brings the activity setup, delivery steps and print requirements into one place. Times are suggested where the source files do not give a duration.</w:t>
      </w:r>
    </w:p>
    <w:p>
      <w:r>
        <w:rPr>
          <w:rFonts w:ascii="Arial" w:hAnsi="Arial"/>
          <w:b/>
          <w:color w:val="F56D57"/>
          <w:sz w:val="20"/>
        </w:rPr>
        <w:t>AT A GLANCE</w:t>
      </w:r>
    </w:p>
    <w:tbl>
      <w:tblPr>
        <w:tblW w:type="auto" w:w="0"/>
        <w:jc w:val="center"/>
        <w:tblLayout w:type="fixed"/>
        <w:tblLook w:firstColumn="1" w:firstRow="1" w:lastColumn="0" w:lastRow="0" w:noHBand="0" w:noVBand="1" w:val="04A0"/>
      </w:tblPr>
      <w:tblGrid>
        <w:gridCol w:w="1296"/>
        <w:gridCol w:w="2520"/>
        <w:gridCol w:w="1224"/>
        <w:gridCol w:w="4752"/>
      </w:tblGrid>
      <w:tr>
        <w:tc>
          <w:tcPr>
            <w:tcW w:type="dxa" w:w="1296"/>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0B454A"/>
          </w:tcPr>
          <w:p>
            <w:pPr>
              <w:spacing w:after="0"/>
            </w:pPr>
            <w:r>
              <w:rPr>
                <w:rFonts w:ascii="Arial" w:hAnsi="Arial"/>
                <w:b/>
                <w:color w:val="FFFFFF"/>
                <w:sz w:val="16"/>
              </w:rPr>
              <w:t>Part</w:t>
            </w:r>
          </w:p>
        </w:tc>
        <w:tc>
          <w:tcPr>
            <w:tcW w:type="dxa" w:w="2520"/>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0B454A"/>
          </w:tcPr>
          <w:p>
            <w:pPr>
              <w:spacing w:after="0"/>
            </w:pPr>
            <w:r>
              <w:rPr>
                <w:rFonts w:ascii="Arial" w:hAnsi="Arial"/>
                <w:b/>
                <w:color w:val="FFFFFF"/>
                <w:sz w:val="16"/>
              </w:rPr>
              <w:t>Activity</w:t>
            </w:r>
          </w:p>
        </w:tc>
        <w:tc>
          <w:tcPr>
            <w:tcW w:type="dxa" w:w="1224"/>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0B454A"/>
          </w:tcPr>
          <w:p>
            <w:pPr>
              <w:spacing w:after="0"/>
            </w:pPr>
            <w:r>
              <w:rPr>
                <w:rFonts w:ascii="Arial" w:hAnsi="Arial"/>
                <w:b/>
                <w:color w:val="FFFFFF"/>
                <w:sz w:val="16"/>
              </w:rPr>
              <w:t>Time*</w:t>
            </w:r>
          </w:p>
        </w:tc>
        <w:tc>
          <w:tcPr>
            <w:tcW w:type="dxa" w:w="4752"/>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0B454A"/>
          </w:tcPr>
          <w:p>
            <w:pPr>
              <w:spacing w:after="0"/>
            </w:pPr>
            <w:r>
              <w:rPr>
                <w:rFonts w:ascii="Arial" w:hAnsi="Arial"/>
                <w:b/>
                <w:color w:val="FFFFFF"/>
                <w:sz w:val="16"/>
              </w:rPr>
              <w:t>Learning method</w:t>
            </w:r>
          </w:p>
        </w:tc>
      </w:tr>
      <w:tr>
        <w:tc>
          <w:tcPr>
            <w:tcW w:type="dxa" w:w="1296"/>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pPr>
            <w:r>
              <w:rPr>
                <w:rFonts w:ascii="Arial" w:hAnsi="Arial"/>
                <w:b/>
                <w:color w:val="18383D"/>
                <w:sz w:val="16"/>
              </w:rPr>
              <w:t>Icebreaker</w:t>
            </w:r>
          </w:p>
        </w:tc>
        <w:tc>
          <w:tcPr>
            <w:tcW w:type="dxa" w:w="2520"/>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pPr>
            <w:r>
              <w:rPr>
                <w:rFonts w:ascii="Arial" w:hAnsi="Arial"/>
                <w:b w:val="0"/>
                <w:color w:val="18383D"/>
                <w:sz w:val="16"/>
              </w:rPr>
              <w:t>Pick One</w:t>
            </w:r>
          </w:p>
        </w:tc>
        <w:tc>
          <w:tcPr>
            <w:tcW w:type="dxa" w:w="1224"/>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pPr>
            <w:r>
              <w:rPr>
                <w:rFonts w:ascii="Arial" w:hAnsi="Arial"/>
                <w:b w:val="0"/>
                <w:color w:val="18383D"/>
                <w:sz w:val="16"/>
              </w:rPr>
              <w:t>5–8 min</w:t>
            </w:r>
          </w:p>
        </w:tc>
        <w:tc>
          <w:tcPr>
            <w:tcW w:type="dxa" w:w="4752"/>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pPr>
            <w:r>
              <w:rPr>
                <w:rFonts w:ascii="Arial" w:hAnsi="Arial"/>
                <w:b w:val="0"/>
                <w:color w:val="18383D"/>
                <w:sz w:val="16"/>
              </w:rPr>
              <w:t>Individual choice + whole-group sharing</w:t>
            </w:r>
          </w:p>
        </w:tc>
      </w:tr>
      <w:tr>
        <w:tc>
          <w:tcPr>
            <w:tcW w:type="dxa" w:w="1296"/>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FAF7F0"/>
          </w:tcPr>
          <w:p>
            <w:pPr>
              <w:spacing w:after="0"/>
            </w:pPr>
            <w:r>
              <w:rPr>
                <w:rFonts w:ascii="Arial" w:hAnsi="Arial"/>
                <w:b/>
                <w:color w:val="18383D"/>
                <w:sz w:val="16"/>
              </w:rPr>
              <w:t>Activity 1</w:t>
            </w:r>
          </w:p>
        </w:tc>
        <w:tc>
          <w:tcPr>
            <w:tcW w:type="dxa" w:w="2520"/>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FAF7F0"/>
          </w:tcPr>
          <w:p>
            <w:pPr>
              <w:spacing w:after="0"/>
            </w:pPr>
            <w:r>
              <w:rPr>
                <w:rFonts w:ascii="Arial" w:hAnsi="Arial"/>
                <w:b w:val="0"/>
                <w:color w:val="18383D"/>
                <w:sz w:val="16"/>
              </w:rPr>
              <w:t>Read Between the Lines</w:t>
            </w:r>
          </w:p>
        </w:tc>
        <w:tc>
          <w:tcPr>
            <w:tcW w:type="dxa" w:w="1224"/>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FAF7F0"/>
          </w:tcPr>
          <w:p>
            <w:pPr>
              <w:spacing w:after="0"/>
            </w:pPr>
            <w:r>
              <w:rPr>
                <w:rFonts w:ascii="Arial" w:hAnsi="Arial"/>
                <w:b w:val="0"/>
                <w:color w:val="18383D"/>
                <w:sz w:val="16"/>
              </w:rPr>
              <w:t>12–15 min</w:t>
            </w:r>
          </w:p>
        </w:tc>
        <w:tc>
          <w:tcPr>
            <w:tcW w:type="dxa" w:w="4752"/>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FAF7F0"/>
          </w:tcPr>
          <w:p>
            <w:pPr>
              <w:spacing w:after="0"/>
            </w:pPr>
            <w:r>
              <w:rPr>
                <w:rFonts w:ascii="Arial" w:hAnsi="Arial"/>
                <w:b w:val="0"/>
                <w:color w:val="18383D"/>
                <w:sz w:val="16"/>
              </w:rPr>
              <w:t>Structured case analysis</w:t>
            </w:r>
          </w:p>
        </w:tc>
      </w:tr>
      <w:tr>
        <w:tc>
          <w:tcPr>
            <w:tcW w:type="dxa" w:w="1296"/>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pPr>
            <w:r>
              <w:rPr>
                <w:rFonts w:ascii="Arial" w:hAnsi="Arial"/>
                <w:b/>
                <w:color w:val="18383D"/>
                <w:sz w:val="16"/>
              </w:rPr>
              <w:t>Activity 2</w:t>
            </w:r>
          </w:p>
        </w:tc>
        <w:tc>
          <w:tcPr>
            <w:tcW w:type="dxa" w:w="2520"/>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pPr>
            <w:r>
              <w:rPr>
                <w:rFonts w:ascii="Arial" w:hAnsi="Arial"/>
                <w:b w:val="0"/>
                <w:color w:val="18383D"/>
                <w:sz w:val="16"/>
              </w:rPr>
              <w:t>Customer Moments</w:t>
            </w:r>
          </w:p>
        </w:tc>
        <w:tc>
          <w:tcPr>
            <w:tcW w:type="dxa" w:w="1224"/>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pPr>
            <w:r>
              <w:rPr>
                <w:rFonts w:ascii="Arial" w:hAnsi="Arial"/>
                <w:b w:val="0"/>
                <w:color w:val="18383D"/>
                <w:sz w:val="16"/>
              </w:rPr>
              <w:t>15–20 min</w:t>
            </w:r>
          </w:p>
        </w:tc>
        <w:tc>
          <w:tcPr>
            <w:tcW w:type="dxa" w:w="4752"/>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pPr>
            <w:r>
              <w:rPr>
                <w:rFonts w:ascii="Arial" w:hAnsi="Arial"/>
                <w:b w:val="0"/>
                <w:color w:val="18383D"/>
                <w:sz w:val="16"/>
              </w:rPr>
              <w:t>Scenario-based decision-making</w:t>
            </w:r>
          </w:p>
        </w:tc>
      </w:tr>
      <w:tr>
        <w:tc>
          <w:tcPr>
            <w:tcW w:type="dxa" w:w="1296"/>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FAF7F0"/>
          </w:tcPr>
          <w:p>
            <w:pPr>
              <w:spacing w:after="0"/>
            </w:pPr>
            <w:r>
              <w:rPr>
                <w:rFonts w:ascii="Arial" w:hAnsi="Arial"/>
                <w:b/>
                <w:color w:val="18383D"/>
                <w:sz w:val="16"/>
              </w:rPr>
              <w:t>Activity 3</w:t>
            </w:r>
          </w:p>
        </w:tc>
        <w:tc>
          <w:tcPr>
            <w:tcW w:type="dxa" w:w="2520"/>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FAF7F0"/>
          </w:tcPr>
          <w:p>
            <w:pPr>
              <w:spacing w:after="0"/>
            </w:pPr>
            <w:r>
              <w:rPr>
                <w:rFonts w:ascii="Arial" w:hAnsi="Arial"/>
                <w:b w:val="0"/>
                <w:color w:val="18383D"/>
                <w:sz w:val="16"/>
              </w:rPr>
              <w:t>The Turning Point</w:t>
            </w:r>
          </w:p>
        </w:tc>
        <w:tc>
          <w:tcPr>
            <w:tcW w:type="dxa" w:w="1224"/>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FAF7F0"/>
          </w:tcPr>
          <w:p>
            <w:pPr>
              <w:spacing w:after="0"/>
            </w:pPr>
            <w:r>
              <w:rPr>
                <w:rFonts w:ascii="Arial" w:hAnsi="Arial"/>
                <w:b w:val="0"/>
                <w:color w:val="18383D"/>
                <w:sz w:val="16"/>
              </w:rPr>
              <w:t>15–20 min</w:t>
            </w:r>
          </w:p>
        </w:tc>
        <w:tc>
          <w:tcPr>
            <w:tcW w:type="dxa" w:w="4752"/>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FAF7F0"/>
          </w:tcPr>
          <w:p>
            <w:pPr>
              <w:spacing w:after="0"/>
            </w:pPr>
            <w:r>
              <w:rPr>
                <w:rFonts w:ascii="Arial" w:hAnsi="Arial"/>
                <w:b w:val="0"/>
                <w:color w:val="18383D"/>
                <w:sz w:val="16"/>
              </w:rPr>
              <w:t>Case-study analysis + debrief</w:t>
            </w:r>
          </w:p>
        </w:tc>
      </w:tr>
      <w:tr>
        <w:tc>
          <w:tcPr>
            <w:tcW w:type="dxa" w:w="1296"/>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pPr>
            <w:r>
              <w:rPr>
                <w:rFonts w:ascii="Arial" w:hAnsi="Arial"/>
                <w:b/>
                <w:color w:val="18383D"/>
                <w:sz w:val="16"/>
              </w:rPr>
              <w:t>Activity 4</w:t>
            </w:r>
          </w:p>
        </w:tc>
        <w:tc>
          <w:tcPr>
            <w:tcW w:type="dxa" w:w="2520"/>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pPr>
            <w:r>
              <w:rPr>
                <w:rFonts w:ascii="Arial" w:hAnsi="Arial"/>
                <w:b w:val="0"/>
                <w:color w:val="18383D"/>
                <w:sz w:val="16"/>
              </w:rPr>
              <w:t>Who Owns the Next Step?</w:t>
            </w:r>
          </w:p>
        </w:tc>
        <w:tc>
          <w:tcPr>
            <w:tcW w:type="dxa" w:w="1224"/>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pPr>
            <w:r>
              <w:rPr>
                <w:rFonts w:ascii="Arial" w:hAnsi="Arial"/>
                <w:b w:val="0"/>
                <w:color w:val="18383D"/>
                <w:sz w:val="16"/>
              </w:rPr>
              <w:t>15 min</w:t>
            </w:r>
          </w:p>
        </w:tc>
        <w:tc>
          <w:tcPr>
            <w:tcW w:type="dxa" w:w="4752"/>
            <w:tcMar>
              <w:top w:w="115" w:type="dxa"/>
              <w:start w:w="100" w:type="dxa"/>
              <w:bottom w:w="115" w:type="dxa"/>
              <w:end w:w="10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pPr>
            <w:r>
              <w:rPr>
                <w:rFonts w:ascii="Arial" w:hAnsi="Arial"/>
                <w:b w:val="0"/>
                <w:color w:val="18383D"/>
                <w:sz w:val="16"/>
              </w:rPr>
              <w:t>Small-group case-based decision-making + debrief</w:t>
            </w:r>
          </w:p>
        </w:tc>
      </w:tr>
    </w:tbl>
    <w:p>
      <w:pPr>
        <w:spacing w:before="100" w:after="180"/>
      </w:pPr>
      <w:r>
        <w:rPr>
          <w:i/>
          <w:color w:val="5C7476"/>
          <w:sz w:val="17"/>
        </w:rPr>
        <w:t>*Suggested timings. The activity source files do not state durations for Activities 1–3 or the icebreaker.</w:t>
      </w:r>
    </w:p>
    <w:p>
      <w:r>
        <w:rPr>
          <w:rFonts w:ascii="Arial" w:hAnsi="Arial"/>
          <w:b/>
          <w:color w:val="F56D57"/>
          <w:sz w:val="20"/>
        </w:rPr>
        <w:t>BEFORE THE SESSION</w:t>
      </w:r>
    </w:p>
    <w:p>
      <w:pPr>
        <w:pStyle w:val="ListBullet"/>
        <w:spacing w:after="60"/>
        <w:ind w:left="317" w:hanging="202"/>
      </w:pPr>
      <w:r>
        <w:t>Print the materials listed under each activity and keep each activity’s pages together.</w:t>
      </w:r>
    </w:p>
    <w:p>
      <w:pPr>
        <w:pStyle w:val="ListBullet"/>
        <w:spacing w:after="60"/>
        <w:ind w:left="317" w:hanging="202"/>
      </w:pPr>
      <w:r>
        <w:t>For Activity 2, prepare all three files. They are used for different parts of the activity.</w:t>
      </w:r>
    </w:p>
    <w:p>
      <w:pPr>
        <w:pStyle w:val="ListBullet"/>
        <w:spacing w:after="60"/>
        <w:ind w:left="317" w:hanging="202"/>
      </w:pPr>
      <w:r>
        <w:t>For Activity 3, prepare the conversation case, participant worksheet and flipchart visual.</w:t>
      </w:r>
    </w:p>
    <w:p>
      <w:pPr>
        <w:pStyle w:val="ListBullet"/>
        <w:spacing w:after="60"/>
        <w:ind w:left="317" w:hanging="202"/>
      </w:pPr>
      <w:r>
        <w:t>Bring pens for participants and markers if you will use the flipchart.</w:t>
      </w:r>
    </w:p>
    <w:p>
      <w:r>
        <w:br w:type="page"/>
      </w:r>
    </w:p>
    <w:tbl>
      <w:tblPr>
        <w:tblW w:type="auto" w:w="0"/>
        <w:jc w:val="center"/>
        <w:tblLayout w:type="fixed"/>
        <w:tblLook w:firstColumn="1" w:firstRow="1" w:lastColumn="0" w:lastRow="0" w:noHBand="0" w:noVBand="1" w:val="04A0"/>
      </w:tblPr>
      <w:tblGrid>
        <w:gridCol w:w="7056"/>
        <w:gridCol w:w="2736"/>
      </w:tblGrid>
      <w:tr>
        <w:tc>
          <w:tcPr>
            <w:tcW w:type="dxa" w:w="7056"/>
            <w:shd w:fill="0B454A"/>
            <w:tcMar>
              <w:top w:w="100" w:type="dxa"/>
              <w:start w:w="180" w:type="dxa"/>
              <w:bottom w:w="100" w:type="dxa"/>
              <w:end w:w="180" w:type="dxa"/>
            </w:tcMar>
            <w:vAlign w:val="center"/>
            <w:tcBorders>
              <w:top w:val="single" w:sz="0" w:color="0B454A"/>
              <w:left w:val="single" w:sz="0" w:color="0B454A"/>
              <w:bottom w:val="single" w:sz="0" w:color="0B454A"/>
              <w:right w:val="single" w:sz="0" w:color="0B454A"/>
              <w:insideH w:val="single" w:sz="0" w:color="0B454A"/>
              <w:insideV w:val="single" w:sz="0" w:color="0B454A"/>
            </w:tcBorders>
          </w:tcPr>
          <w:p>
            <w:pPr>
              <w:spacing w:after="0"/>
            </w:pPr>
            <w:r>
              <w:rPr>
                <w:rFonts w:ascii="Georgia" w:hAnsi="Georgia"/>
                <w:b/>
                <w:color w:val="FFFFFF"/>
                <w:sz w:val="36"/>
              </w:rPr>
              <w:t xml:space="preserve">Beyond </w:t>
            </w:r>
            <w:r>
              <w:rPr>
                <w:rFonts w:ascii="Georgia" w:hAnsi="Georgia"/>
                <w:b/>
                <w:color w:val="F56D57"/>
                <w:sz w:val="36"/>
              </w:rPr>
              <w:t>the Call</w:t>
            </w:r>
          </w:p>
        </w:tc>
        <w:tc>
          <w:tcPr>
            <w:tcW w:type="dxa" w:w="2736"/>
            <w:shd w:fill="0B454A"/>
            <w:tcMar>
              <w:top w:w="100" w:type="dxa"/>
              <w:start w:w="180" w:type="dxa"/>
              <w:bottom w:w="100" w:type="dxa"/>
              <w:end w:w="180" w:type="dxa"/>
            </w:tcMar>
            <w:vAlign w:val="center"/>
            <w:tcBorders>
              <w:top w:val="single" w:sz="0" w:color="0B454A"/>
              <w:left w:val="single" w:sz="0" w:color="0B454A"/>
              <w:bottom w:val="single" w:sz="0" w:color="0B454A"/>
              <w:right w:val="single" w:sz="0" w:color="0B454A"/>
              <w:insideH w:val="single" w:sz="0" w:color="0B454A"/>
              <w:insideV w:val="single" w:sz="0" w:color="0B454A"/>
            </w:tcBorders>
          </w:tcPr>
          <w:p>
            <w:pPr>
              <w:spacing w:after="0"/>
              <w:jc w:val="right"/>
            </w:pPr>
            <w:r>
              <w:rPr>
                <w:rFonts w:ascii="Arial" w:hAnsi="Arial"/>
                <w:b/>
                <w:color w:val="FFFFFF"/>
                <w:sz w:val="18"/>
              </w:rPr>
              <w:t>TRAINER GUIDE</w:t>
              <w:br/>
            </w:r>
            <w:r>
              <w:rPr>
                <w:rFonts w:ascii="Arial" w:hAnsi="Arial"/>
                <w:color w:val="FFFFFF"/>
                <w:sz w:val="15"/>
              </w:rPr>
              <w:t>A real conversation. A bigger story.</w:t>
            </w:r>
          </w:p>
        </w:tc>
      </w:tr>
    </w:tbl>
    <w:p>
      <w:pPr>
        <w:spacing w:after="20"/>
      </w:pPr>
    </w:p>
    <w:p>
      <w:pPr>
        <w:spacing w:before="40" w:after="80"/>
      </w:pPr>
      <w:r>
        <w:rPr>
          <w:rFonts w:ascii="Arial" w:hAnsi="Arial"/>
          <w:b/>
          <w:color w:val="F56D57"/>
          <w:sz w:val="17"/>
        </w:rPr>
        <w:t>ICEBREAKER</w:t>
      </w:r>
    </w:p>
    <w:p>
      <w:pPr>
        <w:spacing w:after="40"/>
      </w:pPr>
      <w:r>
        <w:rPr>
          <w:rFonts w:ascii="Georgia" w:hAnsi="Georgia"/>
          <w:b/>
          <w:color w:val="0B454A"/>
          <w:sz w:val="50"/>
        </w:rPr>
        <w:t>Pick One</w:t>
      </w:r>
    </w:p>
    <w:p>
      <w:pPr>
        <w:spacing w:after="200"/>
      </w:pPr>
      <w:r>
        <w:rPr>
          <w:rFonts w:ascii="Arial" w:hAnsi="Arial"/>
          <w:color w:val="5C7476"/>
          <w:sz w:val="22"/>
        </w:rPr>
        <w:t>Get the group talking before the main content.</w:t>
      </w:r>
    </w:p>
    <w:tbl>
      <w:tblPr>
        <w:tblW w:type="auto" w:w="0"/>
        <w:jc w:val="center"/>
        <w:tblLayout w:type="fixed"/>
        <w:tblLook w:firstColumn="1" w:firstRow="1" w:lastColumn="0" w:lastRow="0" w:noHBand="0" w:noVBand="1" w:val="04A0"/>
      </w:tblPr>
      <w:tblGrid>
        <w:gridCol w:w="1843"/>
        <w:gridCol w:w="7920"/>
      </w:tblGrid>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Objective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Help participants feel comfortable speaking and learn a little about one another.</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Time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5–8 minutes (suggested)</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Type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Icebreaker activity: individual choice followed by whole-group sharing.</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Setup</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Show the “Pick One” slide. Ask each participant to choose one question. Let people know they do not need to answer all six.</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Run it</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Invite participants to share their answer with the group. Keep the pace light and give people the option to pass if they prefer.</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Print / format</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No handouts are required. Use the “Pick One” slide on screen.</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Equipment</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Screen and presentation.</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Files to prepare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Slide: “Pick One” (six questions).</w:t>
            </w:r>
          </w:p>
        </w:tc>
      </w:tr>
    </w:tbl>
    <w:p>
      <w:pPr>
        <w:spacing w:before="160" w:after="80"/>
      </w:pPr>
      <w:r>
        <w:rPr>
          <w:rFonts w:ascii="Arial" w:hAnsi="Arial"/>
          <w:b/>
          <w:color w:val="F56D57"/>
          <w:sz w:val="18"/>
        </w:rPr>
        <w:t>QUESTIONS ON THE SLIDE</w:t>
      </w:r>
    </w:p>
    <w:p>
      <w:pPr>
        <w:pStyle w:val="ListBullet"/>
        <w:spacing w:after="40"/>
        <w:ind w:left="317" w:hanging="202"/>
      </w:pPr>
      <w:r>
        <w:t>What is one thing you are surprisingly good at?</w:t>
      </w:r>
    </w:p>
    <w:p>
      <w:pPr>
        <w:pStyle w:val="ListBullet"/>
        <w:spacing w:after="40"/>
        <w:ind w:left="317" w:hanging="202"/>
      </w:pPr>
      <w:r>
        <w:t>If you could instantly learn one new skill, what would it be?</w:t>
      </w:r>
    </w:p>
    <w:p>
      <w:pPr>
        <w:pStyle w:val="ListBullet"/>
        <w:spacing w:after="40"/>
        <w:ind w:left="317" w:hanging="202"/>
      </w:pPr>
      <w:r>
        <w:t>If you could spend a weekend anywhere, where would you go?</w:t>
      </w:r>
    </w:p>
    <w:p>
      <w:pPr>
        <w:pStyle w:val="ListBullet"/>
        <w:spacing w:after="40"/>
        <w:ind w:left="317" w:hanging="202"/>
      </w:pPr>
      <w:r>
        <w:t>What is a phrase you find yourself saying all the time?</w:t>
      </w:r>
    </w:p>
    <w:p>
      <w:pPr>
        <w:pStyle w:val="ListBullet"/>
        <w:spacing w:after="40"/>
        <w:ind w:left="317" w:hanging="202"/>
      </w:pPr>
      <w:r>
        <w:t>What is one small thing that can instantly improve your day?</w:t>
      </w:r>
    </w:p>
    <w:p>
      <w:pPr>
        <w:pStyle w:val="ListBullet"/>
        <w:spacing w:after="40"/>
        <w:ind w:left="317" w:hanging="202"/>
      </w:pPr>
      <w:r>
        <w:t>What is something people often misunderstand about you at first?</w:t>
      </w:r>
    </w:p>
    <w:p>
      <w:pPr>
        <w:spacing w:before="140" w:after="0"/>
      </w:pPr>
      <w:r>
        <w:rPr>
          <w:b/>
          <w:color w:val="0B454A"/>
          <w:sz w:val="17"/>
        </w:rPr>
        <w:t xml:space="preserve">Trainer note: </w:t>
      </w:r>
      <w:r>
        <w:rPr>
          <w:i/>
          <w:color w:val="5C7476"/>
          <w:sz w:val="17"/>
        </w:rPr>
        <w:t>The six questions below are the questions shown on the approved slide.</w:t>
      </w:r>
    </w:p>
    <w:p>
      <w:r>
        <w:br w:type="page"/>
      </w:r>
    </w:p>
    <w:tbl>
      <w:tblPr>
        <w:tblW w:type="auto" w:w="0"/>
        <w:jc w:val="center"/>
        <w:tblLayout w:type="fixed"/>
        <w:tblLook w:firstColumn="1" w:firstRow="1" w:lastColumn="0" w:lastRow="0" w:noHBand="0" w:noVBand="1" w:val="04A0"/>
      </w:tblPr>
      <w:tblGrid>
        <w:gridCol w:w="7056"/>
        <w:gridCol w:w="2736"/>
      </w:tblGrid>
      <w:tr>
        <w:tc>
          <w:tcPr>
            <w:tcW w:type="dxa" w:w="7056"/>
            <w:shd w:fill="0B454A"/>
            <w:tcMar>
              <w:top w:w="100" w:type="dxa"/>
              <w:start w:w="180" w:type="dxa"/>
              <w:bottom w:w="100" w:type="dxa"/>
              <w:end w:w="180" w:type="dxa"/>
            </w:tcMar>
            <w:vAlign w:val="center"/>
            <w:tcBorders>
              <w:top w:val="single" w:sz="0" w:color="0B454A"/>
              <w:left w:val="single" w:sz="0" w:color="0B454A"/>
              <w:bottom w:val="single" w:sz="0" w:color="0B454A"/>
              <w:right w:val="single" w:sz="0" w:color="0B454A"/>
              <w:insideH w:val="single" w:sz="0" w:color="0B454A"/>
              <w:insideV w:val="single" w:sz="0" w:color="0B454A"/>
            </w:tcBorders>
          </w:tcPr>
          <w:p>
            <w:pPr>
              <w:spacing w:after="0"/>
            </w:pPr>
            <w:r>
              <w:rPr>
                <w:rFonts w:ascii="Georgia" w:hAnsi="Georgia"/>
                <w:b/>
                <w:color w:val="FFFFFF"/>
                <w:sz w:val="36"/>
              </w:rPr>
              <w:t xml:space="preserve">Beyond </w:t>
            </w:r>
            <w:r>
              <w:rPr>
                <w:rFonts w:ascii="Georgia" w:hAnsi="Georgia"/>
                <w:b/>
                <w:color w:val="F56D57"/>
                <w:sz w:val="36"/>
              </w:rPr>
              <w:t>the Call</w:t>
            </w:r>
          </w:p>
        </w:tc>
        <w:tc>
          <w:tcPr>
            <w:tcW w:type="dxa" w:w="2736"/>
            <w:shd w:fill="0B454A"/>
            <w:tcMar>
              <w:top w:w="100" w:type="dxa"/>
              <w:start w:w="180" w:type="dxa"/>
              <w:bottom w:w="100" w:type="dxa"/>
              <w:end w:w="180" w:type="dxa"/>
            </w:tcMar>
            <w:vAlign w:val="center"/>
            <w:tcBorders>
              <w:top w:val="single" w:sz="0" w:color="0B454A"/>
              <w:left w:val="single" w:sz="0" w:color="0B454A"/>
              <w:bottom w:val="single" w:sz="0" w:color="0B454A"/>
              <w:right w:val="single" w:sz="0" w:color="0B454A"/>
              <w:insideH w:val="single" w:sz="0" w:color="0B454A"/>
              <w:insideV w:val="single" w:sz="0" w:color="0B454A"/>
            </w:tcBorders>
          </w:tcPr>
          <w:p>
            <w:pPr>
              <w:spacing w:after="0"/>
              <w:jc w:val="right"/>
            </w:pPr>
            <w:r>
              <w:rPr>
                <w:rFonts w:ascii="Arial" w:hAnsi="Arial"/>
                <w:b/>
                <w:color w:val="FFFFFF"/>
                <w:sz w:val="18"/>
              </w:rPr>
              <w:t>TRAINER GUIDE</w:t>
              <w:br/>
            </w:r>
            <w:r>
              <w:rPr>
                <w:rFonts w:ascii="Arial" w:hAnsi="Arial"/>
                <w:color w:val="FFFFFF"/>
                <w:sz w:val="15"/>
              </w:rPr>
              <w:t>A real conversation. A bigger story.</w:t>
            </w:r>
          </w:p>
        </w:tc>
      </w:tr>
    </w:tbl>
    <w:p>
      <w:pPr>
        <w:spacing w:after="20"/>
      </w:pPr>
    </w:p>
    <w:p>
      <w:pPr>
        <w:spacing w:before="40" w:after="80"/>
      </w:pPr>
      <w:r>
        <w:rPr>
          <w:rFonts w:ascii="Arial" w:hAnsi="Arial"/>
          <w:b/>
          <w:color w:val="F56D57"/>
          <w:sz w:val="17"/>
        </w:rPr>
        <w:t>ACTIVITY 1</w:t>
      </w:r>
    </w:p>
    <w:p>
      <w:pPr>
        <w:spacing w:after="40"/>
      </w:pPr>
      <w:r>
        <w:rPr>
          <w:rFonts w:ascii="Georgia" w:hAnsi="Georgia"/>
          <w:b/>
          <w:color w:val="0B454A"/>
          <w:sz w:val="50"/>
        </w:rPr>
        <w:t>Read Between the Lines</w:t>
      </w:r>
    </w:p>
    <w:p>
      <w:pPr>
        <w:spacing w:after="200"/>
      </w:pPr>
      <w:r>
        <w:rPr>
          <w:rFonts w:ascii="Arial" w:hAnsi="Arial"/>
          <w:color w:val="5C7476"/>
          <w:sz w:val="22"/>
        </w:rPr>
        <w:t>Look beyond the customer’s words to understand what matters to them.</w:t>
      </w:r>
    </w:p>
    <w:tbl>
      <w:tblPr>
        <w:tblW w:type="auto" w:w="0"/>
        <w:jc w:val="center"/>
        <w:tblLayout w:type="fixed"/>
        <w:tblLook w:firstColumn="1" w:firstRow="1" w:lastColumn="0" w:lastRow="0" w:noHBand="0" w:noVBand="1" w:val="04A0"/>
      </w:tblPr>
      <w:tblGrid>
        <w:gridCol w:w="1843"/>
        <w:gridCol w:w="7920"/>
      </w:tblGrid>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Objective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Help participants identify the customer’s main concern, feelings, what has already happened, where trust may have been affected, and what could improve the experience.</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Time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12–15 minutes (suggested)</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Type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Structured case analysis using guided questions, followed by group discussion.</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Setup</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Give each participant or pair the conversation case and the five-question worksheet. Ask them to read the conversation first.</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Run it</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Participants work through the five questions and write their answers in the spaces provided. Invite a few people to share their thinking. Use the answers to discuss what the customer may need beyond the first request.</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Print / format</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Print the conversation case and the worksheet in colour on A4 paper, single-sided. Give one set to each participant or pair.</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Equipment</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Pens; screen optional.</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Files to prepare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Activity_1_Beyond_the_Request.pdf — conversation case. Activity_1_Read_Between_the_Lines.pdf — five-question worksheet.</w:t>
            </w:r>
          </w:p>
        </w:tc>
      </w:tr>
    </w:tbl>
    <w:p>
      <w:pPr>
        <w:spacing w:before="140" w:after="0"/>
      </w:pPr>
      <w:r>
        <w:rPr>
          <w:b/>
          <w:color w:val="0B454A"/>
          <w:sz w:val="17"/>
        </w:rPr>
        <w:t xml:space="preserve">Trainer note: </w:t>
      </w:r>
      <w:r>
        <w:rPr>
          <w:i/>
          <w:color w:val="5C7476"/>
          <w:sz w:val="17"/>
        </w:rPr>
        <w:t>The guide describes the method and print setup; it does not add model answers to the worksheet.</w:t>
      </w:r>
    </w:p>
    <w:p>
      <w:r>
        <w:br w:type="page"/>
      </w:r>
    </w:p>
    <w:tbl>
      <w:tblPr>
        <w:tblW w:type="auto" w:w="0"/>
        <w:jc w:val="center"/>
        <w:tblLayout w:type="fixed"/>
        <w:tblLook w:firstColumn="1" w:firstRow="1" w:lastColumn="0" w:lastRow="0" w:noHBand="0" w:noVBand="1" w:val="04A0"/>
      </w:tblPr>
      <w:tblGrid>
        <w:gridCol w:w="7056"/>
        <w:gridCol w:w="2736"/>
      </w:tblGrid>
      <w:tr>
        <w:tc>
          <w:tcPr>
            <w:tcW w:type="dxa" w:w="7056"/>
            <w:shd w:fill="0B454A"/>
            <w:tcMar>
              <w:top w:w="100" w:type="dxa"/>
              <w:start w:w="180" w:type="dxa"/>
              <w:bottom w:w="100" w:type="dxa"/>
              <w:end w:w="180" w:type="dxa"/>
            </w:tcMar>
            <w:vAlign w:val="center"/>
            <w:tcBorders>
              <w:top w:val="single" w:sz="0" w:color="0B454A"/>
              <w:left w:val="single" w:sz="0" w:color="0B454A"/>
              <w:bottom w:val="single" w:sz="0" w:color="0B454A"/>
              <w:right w:val="single" w:sz="0" w:color="0B454A"/>
              <w:insideH w:val="single" w:sz="0" w:color="0B454A"/>
              <w:insideV w:val="single" w:sz="0" w:color="0B454A"/>
            </w:tcBorders>
          </w:tcPr>
          <w:p>
            <w:pPr>
              <w:spacing w:after="0"/>
            </w:pPr>
            <w:r>
              <w:rPr>
                <w:rFonts w:ascii="Georgia" w:hAnsi="Georgia"/>
                <w:b/>
                <w:color w:val="FFFFFF"/>
                <w:sz w:val="36"/>
              </w:rPr>
              <w:t xml:space="preserve">Beyond </w:t>
            </w:r>
            <w:r>
              <w:rPr>
                <w:rFonts w:ascii="Georgia" w:hAnsi="Georgia"/>
                <w:b/>
                <w:color w:val="F56D57"/>
                <w:sz w:val="36"/>
              </w:rPr>
              <w:t>the Call</w:t>
            </w:r>
          </w:p>
        </w:tc>
        <w:tc>
          <w:tcPr>
            <w:tcW w:type="dxa" w:w="2736"/>
            <w:shd w:fill="0B454A"/>
            <w:tcMar>
              <w:top w:w="100" w:type="dxa"/>
              <w:start w:w="180" w:type="dxa"/>
              <w:bottom w:w="100" w:type="dxa"/>
              <w:end w:w="180" w:type="dxa"/>
            </w:tcMar>
            <w:vAlign w:val="center"/>
            <w:tcBorders>
              <w:top w:val="single" w:sz="0" w:color="0B454A"/>
              <w:left w:val="single" w:sz="0" w:color="0B454A"/>
              <w:bottom w:val="single" w:sz="0" w:color="0B454A"/>
              <w:right w:val="single" w:sz="0" w:color="0B454A"/>
              <w:insideH w:val="single" w:sz="0" w:color="0B454A"/>
              <w:insideV w:val="single" w:sz="0" w:color="0B454A"/>
            </w:tcBorders>
          </w:tcPr>
          <w:p>
            <w:pPr>
              <w:spacing w:after="0"/>
              <w:jc w:val="right"/>
            </w:pPr>
            <w:r>
              <w:rPr>
                <w:rFonts w:ascii="Arial" w:hAnsi="Arial"/>
                <w:b/>
                <w:color w:val="FFFFFF"/>
                <w:sz w:val="18"/>
              </w:rPr>
              <w:t>TRAINER GUIDE</w:t>
              <w:br/>
            </w:r>
            <w:r>
              <w:rPr>
                <w:rFonts w:ascii="Arial" w:hAnsi="Arial"/>
                <w:color w:val="FFFFFF"/>
                <w:sz w:val="15"/>
              </w:rPr>
              <w:t>A real conversation. A bigger story.</w:t>
            </w:r>
          </w:p>
        </w:tc>
      </w:tr>
    </w:tbl>
    <w:p>
      <w:pPr>
        <w:spacing w:after="20"/>
      </w:pPr>
    </w:p>
    <w:p>
      <w:pPr>
        <w:spacing w:before="40" w:after="80"/>
      </w:pPr>
      <w:r>
        <w:rPr>
          <w:rFonts w:ascii="Arial" w:hAnsi="Arial"/>
          <w:b/>
          <w:color w:val="F56D57"/>
          <w:sz w:val="17"/>
        </w:rPr>
        <w:t>ACTIVITY 2</w:t>
      </w:r>
    </w:p>
    <w:p>
      <w:pPr>
        <w:spacing w:after="40"/>
      </w:pPr>
      <w:r>
        <w:rPr>
          <w:rFonts w:ascii="Georgia" w:hAnsi="Georgia"/>
          <w:b/>
          <w:color w:val="0B454A"/>
          <w:sz w:val="50"/>
        </w:rPr>
        <w:t>Customer Moments</w:t>
      </w:r>
    </w:p>
    <w:p>
      <w:pPr>
        <w:spacing w:after="200"/>
      </w:pPr>
      <w:r>
        <w:rPr>
          <w:rFonts w:ascii="Arial" w:hAnsi="Arial"/>
          <w:color w:val="5C7476"/>
          <w:sz w:val="22"/>
        </w:rPr>
        <w:t>Choose a response that fits the customer and the situation.</w:t>
      </w:r>
    </w:p>
    <w:tbl>
      <w:tblPr>
        <w:tblW w:type="auto" w:w="0"/>
        <w:jc w:val="center"/>
        <w:tblLayout w:type="fixed"/>
        <w:tblLook w:firstColumn="1" w:firstRow="1" w:lastColumn="0" w:lastRow="0" w:noHBand="0" w:noVBand="1" w:val="04A0"/>
      </w:tblPr>
      <w:tblGrid>
        <w:gridCol w:w="1843"/>
        <w:gridCol w:w="7920"/>
      </w:tblGrid>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Objective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Help participants consider a customer situation, choose an opening response, and improve it so the customer feels heard and understands what happens next.</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Time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15–20 minutes (suggested)</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Type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Scenario-based group decision-making with response selection and collaborative rewriting.</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Setup</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Prepare the four customer situation cards, the first-response lines, and the group writing sheet. Put participants into small groups and give each group the materials.</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Run it</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Each group chooses a customer situation and discusses which opening response fits best. The group then improves the response on the writing sheet. Ask groups to share one choice and explain why it fits the situation.</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Print / format</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Print all three files in colour on A4 paper, single-sided. Keep the four situation cards together, the four response lines together, and provide one writing sheet per group.</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Equipment</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Pens; screen optional.</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Files to prepare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Activity_2_Customer_Moment_Cards_FullBleed.pdf — four customer situations. Activity_2_First_Response_Lines_FullBleed.pdf — four possible opening responses. Activity_2_Make_the_Response_Fit_FullBleed.pdf — group discussion and writing sheet.</w:t>
            </w:r>
          </w:p>
        </w:tc>
      </w:tr>
    </w:tbl>
    <w:p>
      <w:pPr>
        <w:spacing w:before="140" w:after="0"/>
      </w:pPr>
      <w:r>
        <w:rPr>
          <w:b/>
          <w:color w:val="0B454A"/>
          <w:sz w:val="17"/>
        </w:rPr>
        <w:t xml:space="preserve">Trainer note: </w:t>
      </w:r>
      <w:r>
        <w:rPr>
          <w:i/>
          <w:color w:val="5C7476"/>
          <w:sz w:val="17"/>
        </w:rPr>
        <w:t>The three files serve different parts of the same activity; prepare all three.</w:t>
      </w:r>
    </w:p>
    <w:p>
      <w:r>
        <w:br w:type="page"/>
      </w:r>
    </w:p>
    <w:tbl>
      <w:tblPr>
        <w:tblW w:type="auto" w:w="0"/>
        <w:jc w:val="center"/>
        <w:tblLayout w:type="fixed"/>
        <w:tblLook w:firstColumn="1" w:firstRow="1" w:lastColumn="0" w:lastRow="0" w:noHBand="0" w:noVBand="1" w:val="04A0"/>
      </w:tblPr>
      <w:tblGrid>
        <w:gridCol w:w="7056"/>
        <w:gridCol w:w="2736"/>
      </w:tblGrid>
      <w:tr>
        <w:tc>
          <w:tcPr>
            <w:tcW w:type="dxa" w:w="7056"/>
            <w:shd w:fill="0B454A"/>
            <w:tcMar>
              <w:top w:w="100" w:type="dxa"/>
              <w:start w:w="180" w:type="dxa"/>
              <w:bottom w:w="100" w:type="dxa"/>
              <w:end w:w="180" w:type="dxa"/>
            </w:tcMar>
            <w:vAlign w:val="center"/>
            <w:tcBorders>
              <w:top w:val="single" w:sz="0" w:color="0B454A"/>
              <w:left w:val="single" w:sz="0" w:color="0B454A"/>
              <w:bottom w:val="single" w:sz="0" w:color="0B454A"/>
              <w:right w:val="single" w:sz="0" w:color="0B454A"/>
              <w:insideH w:val="single" w:sz="0" w:color="0B454A"/>
              <w:insideV w:val="single" w:sz="0" w:color="0B454A"/>
            </w:tcBorders>
          </w:tcPr>
          <w:p>
            <w:pPr>
              <w:spacing w:after="0"/>
            </w:pPr>
            <w:r>
              <w:rPr>
                <w:rFonts w:ascii="Georgia" w:hAnsi="Georgia"/>
                <w:b/>
                <w:color w:val="FFFFFF"/>
                <w:sz w:val="36"/>
              </w:rPr>
              <w:t xml:space="preserve">Beyond </w:t>
            </w:r>
            <w:r>
              <w:rPr>
                <w:rFonts w:ascii="Georgia" w:hAnsi="Georgia"/>
                <w:b/>
                <w:color w:val="F56D57"/>
                <w:sz w:val="36"/>
              </w:rPr>
              <w:t>the Call</w:t>
            </w:r>
          </w:p>
        </w:tc>
        <w:tc>
          <w:tcPr>
            <w:tcW w:type="dxa" w:w="2736"/>
            <w:shd w:fill="0B454A"/>
            <w:tcMar>
              <w:top w:w="100" w:type="dxa"/>
              <w:start w:w="180" w:type="dxa"/>
              <w:bottom w:w="100" w:type="dxa"/>
              <w:end w:w="180" w:type="dxa"/>
            </w:tcMar>
            <w:vAlign w:val="center"/>
            <w:tcBorders>
              <w:top w:val="single" w:sz="0" w:color="0B454A"/>
              <w:left w:val="single" w:sz="0" w:color="0B454A"/>
              <w:bottom w:val="single" w:sz="0" w:color="0B454A"/>
              <w:right w:val="single" w:sz="0" w:color="0B454A"/>
              <w:insideH w:val="single" w:sz="0" w:color="0B454A"/>
              <w:insideV w:val="single" w:sz="0" w:color="0B454A"/>
            </w:tcBorders>
          </w:tcPr>
          <w:p>
            <w:pPr>
              <w:spacing w:after="0"/>
              <w:jc w:val="right"/>
            </w:pPr>
            <w:r>
              <w:rPr>
                <w:rFonts w:ascii="Arial" w:hAnsi="Arial"/>
                <w:b/>
                <w:color w:val="FFFFFF"/>
                <w:sz w:val="18"/>
              </w:rPr>
              <w:t>TRAINER GUIDE</w:t>
              <w:br/>
            </w:r>
            <w:r>
              <w:rPr>
                <w:rFonts w:ascii="Arial" w:hAnsi="Arial"/>
                <w:color w:val="FFFFFF"/>
                <w:sz w:val="15"/>
              </w:rPr>
              <w:t>A real conversation. A bigger story.</w:t>
            </w:r>
          </w:p>
        </w:tc>
      </w:tr>
    </w:tbl>
    <w:p>
      <w:pPr>
        <w:spacing w:after="20"/>
      </w:pPr>
    </w:p>
    <w:p>
      <w:pPr>
        <w:spacing w:before="40" w:after="80"/>
      </w:pPr>
      <w:r>
        <w:rPr>
          <w:rFonts w:ascii="Arial" w:hAnsi="Arial"/>
          <w:b/>
          <w:color w:val="F56D57"/>
          <w:sz w:val="17"/>
        </w:rPr>
        <w:t>ACTIVITY 3</w:t>
      </w:r>
    </w:p>
    <w:p>
      <w:pPr>
        <w:spacing w:after="40"/>
      </w:pPr>
      <w:r>
        <w:rPr>
          <w:rFonts w:ascii="Georgia" w:hAnsi="Georgia"/>
          <w:b/>
          <w:color w:val="0B454A"/>
          <w:sz w:val="50"/>
        </w:rPr>
        <w:t>The Turning Point</w:t>
      </w:r>
    </w:p>
    <w:p>
      <w:pPr>
        <w:spacing w:after="200"/>
      </w:pPr>
      <w:r>
        <w:rPr>
          <w:rFonts w:ascii="Arial" w:hAnsi="Arial"/>
          <w:color w:val="5C7476"/>
          <w:sz w:val="22"/>
        </w:rPr>
        <w:t>Spot the moment when the conversation starts to go off track.</w:t>
      </w:r>
    </w:p>
    <w:tbl>
      <w:tblPr>
        <w:tblW w:type="auto" w:w="0"/>
        <w:jc w:val="center"/>
        <w:tblLayout w:type="fixed"/>
        <w:tblLook w:firstColumn="1" w:firstRow="1" w:lastColumn="0" w:lastRow="0" w:noHBand="0" w:noVBand="1" w:val="04A0"/>
      </w:tblPr>
      <w:tblGrid>
        <w:gridCol w:w="1843"/>
        <w:gridCol w:w="7920"/>
      </w:tblGrid>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Objective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Help participants notice how the agent’s choices affect the conversation and identify a better response.</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Time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15–20 minutes (suggested)</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Type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Case-study analysis with a structured participant worksheet and facilitated group debrief.</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Setup</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Give participants the conversation case and the worksheet. Keep the flipchart ready for the group debrief.</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Run it</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Participants read the conversation and use the worksheet to identify the turning point and discuss the choices that affected the call. Bring the group together and capture their ideas on the flipchart.</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Print / format</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Print the conversation case and worksheet in colour on A4 paper, single-sided. Print the flipchart visual separately at flipchart size, or display it on screen if large-format printing is not available.</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Equipment</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Pens; flipchart markers if using a printed flipchart; screen optional.</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Files to prepare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The_Turning_Point_no_reflect.pdf — conversation case. “Beyond the Call – The Turning Point Worksheet.png” — participant worksheet. “The Turning Point Workshop Flipchart.png” — visual for group debrief.</w:t>
            </w:r>
          </w:p>
        </w:tc>
      </w:tr>
    </w:tbl>
    <w:p>
      <w:pPr>
        <w:spacing w:before="140" w:after="0"/>
      </w:pPr>
      <w:r>
        <w:rPr>
          <w:b/>
          <w:color w:val="0B454A"/>
          <w:sz w:val="17"/>
        </w:rPr>
        <w:t xml:space="preserve">Trainer note: </w:t>
      </w:r>
      <w:r>
        <w:rPr>
          <w:i/>
          <w:color w:val="5C7476"/>
          <w:sz w:val="17"/>
        </w:rPr>
        <w:t>The worksheet and flipchart are image files, not editable documents. Print them as images or place them into a Word/PDF page before printing.</w:t>
      </w:r>
    </w:p>
    <w:p>
      <w:r>
        <w:br w:type="page"/>
      </w:r>
    </w:p>
    <w:tbl>
      <w:tblPr>
        <w:tblW w:type="auto" w:w="0"/>
        <w:jc w:val="center"/>
        <w:tblLayout w:type="fixed"/>
        <w:tblLook w:firstColumn="1" w:firstRow="1" w:lastColumn="0" w:lastRow="0" w:noHBand="0" w:noVBand="1" w:val="04A0"/>
      </w:tblPr>
      <w:tblGrid>
        <w:gridCol w:w="7056"/>
        <w:gridCol w:w="2736"/>
      </w:tblGrid>
      <w:tr>
        <w:tc>
          <w:tcPr>
            <w:tcW w:type="dxa" w:w="7056"/>
            <w:shd w:fill="0B454A"/>
            <w:tcMar>
              <w:top w:w="100" w:type="dxa"/>
              <w:start w:w="180" w:type="dxa"/>
              <w:bottom w:w="100" w:type="dxa"/>
              <w:end w:w="180" w:type="dxa"/>
            </w:tcMar>
            <w:vAlign w:val="center"/>
            <w:tcBorders>
              <w:top w:val="single" w:sz="0" w:color="0B454A"/>
              <w:left w:val="single" w:sz="0" w:color="0B454A"/>
              <w:bottom w:val="single" w:sz="0" w:color="0B454A"/>
              <w:right w:val="single" w:sz="0" w:color="0B454A"/>
              <w:insideH w:val="single" w:sz="0" w:color="0B454A"/>
              <w:insideV w:val="single" w:sz="0" w:color="0B454A"/>
            </w:tcBorders>
          </w:tcPr>
          <w:p>
            <w:pPr>
              <w:spacing w:after="0"/>
            </w:pPr>
            <w:r>
              <w:rPr>
                <w:rFonts w:ascii="Georgia" w:hAnsi="Georgia"/>
                <w:b/>
                <w:color w:val="FFFFFF"/>
                <w:sz w:val="36"/>
              </w:rPr>
              <w:t xml:space="preserve">Beyond </w:t>
            </w:r>
            <w:r>
              <w:rPr>
                <w:rFonts w:ascii="Georgia" w:hAnsi="Georgia"/>
                <w:b/>
                <w:color w:val="F56D57"/>
                <w:sz w:val="36"/>
              </w:rPr>
              <w:t>the Call</w:t>
            </w:r>
          </w:p>
        </w:tc>
        <w:tc>
          <w:tcPr>
            <w:tcW w:type="dxa" w:w="2736"/>
            <w:shd w:fill="0B454A"/>
            <w:tcMar>
              <w:top w:w="100" w:type="dxa"/>
              <w:start w:w="180" w:type="dxa"/>
              <w:bottom w:w="100" w:type="dxa"/>
              <w:end w:w="180" w:type="dxa"/>
            </w:tcMar>
            <w:vAlign w:val="center"/>
            <w:tcBorders>
              <w:top w:val="single" w:sz="0" w:color="0B454A"/>
              <w:left w:val="single" w:sz="0" w:color="0B454A"/>
              <w:bottom w:val="single" w:sz="0" w:color="0B454A"/>
              <w:right w:val="single" w:sz="0" w:color="0B454A"/>
              <w:insideH w:val="single" w:sz="0" w:color="0B454A"/>
              <w:insideV w:val="single" w:sz="0" w:color="0B454A"/>
            </w:tcBorders>
          </w:tcPr>
          <w:p>
            <w:pPr>
              <w:spacing w:after="0"/>
              <w:jc w:val="right"/>
            </w:pPr>
            <w:r>
              <w:rPr>
                <w:rFonts w:ascii="Arial" w:hAnsi="Arial"/>
                <w:b/>
                <w:color w:val="FFFFFF"/>
                <w:sz w:val="18"/>
              </w:rPr>
              <w:t>TRAINER GUIDE</w:t>
              <w:br/>
            </w:r>
            <w:r>
              <w:rPr>
                <w:rFonts w:ascii="Arial" w:hAnsi="Arial"/>
                <w:color w:val="FFFFFF"/>
                <w:sz w:val="15"/>
              </w:rPr>
              <w:t>A real conversation. A bigger story.</w:t>
            </w:r>
          </w:p>
        </w:tc>
      </w:tr>
    </w:tbl>
    <w:p>
      <w:pPr>
        <w:spacing w:after="20"/>
      </w:pPr>
    </w:p>
    <w:p>
      <w:pPr>
        <w:spacing w:before="40" w:after="80"/>
      </w:pPr>
      <w:r>
        <w:rPr>
          <w:rFonts w:ascii="Arial" w:hAnsi="Arial"/>
          <w:b/>
          <w:color w:val="F56D57"/>
          <w:sz w:val="17"/>
        </w:rPr>
        <w:t>ACTIVITY 4</w:t>
      </w:r>
    </w:p>
    <w:p>
      <w:pPr>
        <w:spacing w:after="40"/>
      </w:pPr>
      <w:r>
        <w:rPr>
          <w:rFonts w:ascii="Georgia" w:hAnsi="Georgia"/>
          <w:b/>
          <w:color w:val="0B454A"/>
          <w:sz w:val="50"/>
        </w:rPr>
        <w:t>Who Owns the Next Step?</w:t>
      </w:r>
    </w:p>
    <w:p>
      <w:pPr>
        <w:spacing w:after="200"/>
      </w:pPr>
      <w:r>
        <w:rPr>
          <w:rFonts w:ascii="Arial" w:hAnsi="Arial"/>
          <w:color w:val="5C7476"/>
          <w:sz w:val="22"/>
        </w:rPr>
        <w:t>Decide what to handle, what to escalate, and what to follow up.</w:t>
      </w:r>
    </w:p>
    <w:tbl>
      <w:tblPr>
        <w:tblW w:type="auto" w:w="0"/>
        <w:jc w:val="center"/>
        <w:tblLayout w:type="fixed"/>
        <w:tblLook w:firstColumn="1" w:firstRow="1" w:lastColumn="0" w:lastRow="0" w:noHBand="0" w:noVBand="1" w:val="04A0"/>
      </w:tblPr>
      <w:tblGrid>
        <w:gridCol w:w="1843"/>
        <w:gridCol w:w="7920"/>
      </w:tblGrid>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Objective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Help participants decide whether a customer issue should be handled directly, escalated, or followed up, while keeping clear ownership of the customer’s next step.</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Time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15 minutes (suggested): 6–7 minutes for group discussion, then a short whole-group debrief.</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Type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Small-group case-based decision-making followed by a whole-group debrief.</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Setup</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Divide participants into four groups. Give each group a different scenario sheet.</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Run it</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Each group agrees on three things: whether to handle, escalate, or follow up; what the agent should do next; and what the agent should say to the customer. Bring everyone back together. Each group shares its decision and reason. Ask the room whether they agree. Close by discussing what the agent still owns when another team becomes involved.</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Print / format</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Print the Word file in colour on A4 paper, single-sided. Print one scenario for each group, four scenario sheets in total. Participants write directly on the sheets. Bring pens.</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Equipment</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Pens; screen optional.</w:t>
            </w:r>
          </w:p>
        </w:tc>
      </w:tr>
      <w:tr>
        <w:tc>
          <w:tcPr>
            <w:tcW w:type="dxa" w:w="1843"/>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EAF2EF"/>
          </w:tcPr>
          <w:p>
            <w:pPr>
              <w:spacing w:after="0" w:line="264" w:lineRule="auto"/>
            </w:pPr>
            <w:r>
              <w:rPr>
                <w:rFonts w:ascii="Arial" w:hAnsi="Arial"/>
                <w:b/>
                <w:color w:val="0B454A"/>
                <w:sz w:val="18"/>
              </w:rPr>
              <w:t>Files to prepare</w:t>
            </w:r>
          </w:p>
        </w:tc>
        <w:tc>
          <w:tcPr>
            <w:tcW w:type="dxa" w:w="7920"/>
            <w:vAlign w:val="top"/>
            <w:tcMar>
              <w:top w:w="150" w:type="dxa"/>
              <w:start w:w="170" w:type="dxa"/>
              <w:bottom w:w="150" w:type="dxa"/>
              <w:end w:w="170" w:type="dxa"/>
            </w:tcMar>
            <w:tcBorders>
              <w:top w:val="single" w:sz="5" w:color="D8E2DE"/>
              <w:left w:val="single" w:sz="5" w:color="D8E2DE"/>
              <w:bottom w:val="single" w:sz="5" w:color="D8E2DE"/>
              <w:right w:val="single" w:sz="5" w:color="D8E2DE"/>
              <w:insideH w:val="single" w:sz="5" w:color="D8E2DE"/>
              <w:insideV w:val="single" w:sz="5" w:color="D8E2DE"/>
            </w:tcBorders>
            <w:shd w:fill="FFFFFF"/>
          </w:tcPr>
          <w:p>
            <w:pPr>
              <w:spacing w:after="0" w:line="271" w:lineRule="auto"/>
            </w:pPr>
            <w:r>
              <w:rPr>
                <w:rFonts w:ascii="Arial" w:hAnsi="Arial"/>
                <w:color w:val="18383D"/>
                <w:sz w:val="20"/>
              </w:rPr>
              <w:t>Beyond_the_Call_Who_Owns_the_Next_Step.docx — four scenario sheets.</w:t>
            </w:r>
          </w:p>
        </w:tc>
      </w:tr>
    </w:tbl>
    <w:p>
      <w:pPr>
        <w:spacing w:before="140" w:after="0"/>
      </w:pPr>
      <w:r>
        <w:rPr>
          <w:b/>
          <w:color w:val="0B454A"/>
          <w:sz w:val="17"/>
        </w:rPr>
        <w:t xml:space="preserve">Trainer note: </w:t>
      </w:r>
      <w:r>
        <w:rPr>
          <w:i/>
          <w:color w:val="5C7476"/>
          <w:sz w:val="17"/>
        </w:rPr>
        <w:t>Do not give groups the same scenario if you want the debrief to cover all four customer situations.</w:t>
      </w:r>
    </w:p>
    <w:sectPr w:rsidR="00FC693F" w:rsidRPr="0006063C" w:rsidSect="00034616">
      <w:footerReference w:type="default" r:id="rId9"/>
      <w:pgSz w:w="12240" w:h="15840"/>
      <w:pgMar w:top="893" w:right="1037" w:bottom="893"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C7476"/>
        <w:sz w:val="15"/>
      </w:rPr>
      <w:t>BEYOND THE CALL  |  TRAINER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1838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