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F38" w:rsidRPr="004237F6" w:rsidRDefault="00892877" w:rsidP="004237F6">
      <w:pPr>
        <w:spacing w:after="120" w:line="240" w:lineRule="auto"/>
        <w:jc w:val="center"/>
        <w:rPr>
          <w:rFonts w:ascii="Times New Roman" w:hAnsi="Times New Roman" w:cs="Times New Roman"/>
          <w:b/>
          <w:sz w:val="24"/>
          <w:szCs w:val="24"/>
        </w:rPr>
      </w:pPr>
      <w:r w:rsidRPr="00415ABE">
        <w:rPr>
          <w:rFonts w:ascii="Times New Roman" w:hAnsi="Times New Roman" w:cs="Times New Roman"/>
          <w:b/>
          <w:sz w:val="24"/>
          <w:szCs w:val="24"/>
        </w:rPr>
        <w:t xml:space="preserve">Update on </w:t>
      </w:r>
      <w:r w:rsidR="007251A6" w:rsidRPr="00415ABE">
        <w:rPr>
          <w:rFonts w:ascii="Times New Roman" w:hAnsi="Times New Roman" w:cs="Times New Roman"/>
          <w:b/>
          <w:sz w:val="24"/>
          <w:szCs w:val="24"/>
        </w:rPr>
        <w:t>Publi</w:t>
      </w:r>
      <w:r w:rsidR="00415ABE" w:rsidRPr="00415ABE">
        <w:rPr>
          <w:rFonts w:ascii="Times New Roman" w:hAnsi="Times New Roman" w:cs="Times New Roman"/>
          <w:b/>
          <w:sz w:val="24"/>
          <w:szCs w:val="24"/>
        </w:rPr>
        <w:t>c Safety Broadband Early Builders</w:t>
      </w:r>
    </w:p>
    <w:p w:rsidR="00892877" w:rsidRDefault="00892877" w:rsidP="00625788">
      <w:pPr>
        <w:spacing w:after="120" w:line="240" w:lineRule="auto"/>
        <w:rPr>
          <w:rFonts w:ascii="Times New Roman" w:hAnsi="Times New Roman" w:cs="Times New Roman"/>
          <w:sz w:val="24"/>
          <w:szCs w:val="24"/>
        </w:rPr>
      </w:pPr>
    </w:p>
    <w:p w:rsidR="004237F6" w:rsidRDefault="00415ABE"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April 13</w:t>
      </w:r>
      <w:r w:rsidR="004237F6">
        <w:rPr>
          <w:rFonts w:ascii="Times New Roman" w:hAnsi="Times New Roman" w:cs="Times New Roman"/>
          <w:sz w:val="24"/>
          <w:szCs w:val="24"/>
        </w:rPr>
        <w:t>, 2015</w:t>
      </w:r>
    </w:p>
    <w:p w:rsidR="00DE4760" w:rsidRDefault="00DE4760" w:rsidP="00DE4760">
      <w:pPr>
        <w:pStyle w:val="NormalWeb"/>
        <w:shd w:val="clear" w:color="auto" w:fill="FFFFFF"/>
        <w:spacing w:before="0" w:after="120"/>
        <w:rPr>
          <w:color w:val="333333"/>
          <w:lang w:val="en"/>
        </w:rPr>
      </w:pPr>
    </w:p>
    <w:p w:rsidR="00DE4760" w:rsidRDefault="00415ABE" w:rsidP="00DE4760">
      <w:pPr>
        <w:pStyle w:val="NormalWeb"/>
        <w:shd w:val="clear" w:color="auto" w:fill="FFFFFF"/>
        <w:spacing w:before="0" w:after="120"/>
        <w:rPr>
          <w:color w:val="333333"/>
          <w:lang w:val="en"/>
        </w:rPr>
      </w:pPr>
      <w:r>
        <w:rPr>
          <w:color w:val="333333"/>
          <w:lang w:val="en"/>
        </w:rPr>
        <w:t>There has been an extensive amount of press recently regarding the difficulties surrounding</w:t>
      </w:r>
      <w:r w:rsidR="004C2DC7">
        <w:rPr>
          <w:color w:val="333333"/>
          <w:lang w:val="en"/>
        </w:rPr>
        <w:t xml:space="preserve"> development of</w:t>
      </w:r>
      <w:r>
        <w:rPr>
          <w:color w:val="333333"/>
          <w:lang w:val="en"/>
        </w:rPr>
        <w:t xml:space="preserve"> the Los Angeles Regional Interoperable Communications System (LA-RICS)</w:t>
      </w:r>
      <w:r w:rsidR="0059246B">
        <w:rPr>
          <w:color w:val="333333"/>
          <w:lang w:val="en"/>
        </w:rPr>
        <w:t xml:space="preserve">.  </w:t>
      </w:r>
      <w:r w:rsidR="004C2DC7">
        <w:rPr>
          <w:color w:val="333333"/>
          <w:lang w:val="en"/>
        </w:rPr>
        <w:t>Since t</w:t>
      </w:r>
      <w:r w:rsidR="0059246B">
        <w:rPr>
          <w:color w:val="333333"/>
          <w:lang w:val="en"/>
        </w:rPr>
        <w:t>his system is one of the public safety broadband “Early Builder”</w:t>
      </w:r>
      <w:r w:rsidR="004C2DC7">
        <w:rPr>
          <w:color w:val="333333"/>
          <w:lang w:val="en"/>
        </w:rPr>
        <w:t xml:space="preserve"> projects, we will take this opportunity to provide</w:t>
      </w:r>
      <w:r w:rsidR="00DE6BE4">
        <w:rPr>
          <w:color w:val="333333"/>
          <w:lang w:val="en"/>
        </w:rPr>
        <w:t xml:space="preserve"> an update on the status of the all of the early builder broadband project</w:t>
      </w:r>
      <w:r w:rsidR="004C2DC7">
        <w:rPr>
          <w:color w:val="333333"/>
          <w:lang w:val="en"/>
        </w:rPr>
        <w:t>s</w:t>
      </w:r>
      <w:r w:rsidR="00DE6BE4">
        <w:rPr>
          <w:color w:val="333333"/>
          <w:lang w:val="en"/>
        </w:rPr>
        <w:t>.</w:t>
      </w:r>
    </w:p>
    <w:p w:rsidR="00DE6BE4" w:rsidRDefault="00DE6BE4" w:rsidP="00DE4760">
      <w:pPr>
        <w:pStyle w:val="NormalWeb"/>
        <w:shd w:val="clear" w:color="auto" w:fill="FFFFFF"/>
        <w:spacing w:before="0" w:after="120"/>
        <w:rPr>
          <w:color w:val="333333"/>
          <w:lang w:val="en"/>
        </w:rPr>
      </w:pPr>
      <w:r>
        <w:rPr>
          <w:color w:val="333333"/>
          <w:lang w:val="en"/>
        </w:rPr>
        <w:t xml:space="preserve">Prior to passage of the landmark 2012 legislation that created FirstNet and established the </w:t>
      </w:r>
      <w:r w:rsidR="004C2DC7">
        <w:rPr>
          <w:color w:val="333333"/>
          <w:lang w:val="en"/>
        </w:rPr>
        <w:t xml:space="preserve">funding and </w:t>
      </w:r>
      <w:r>
        <w:rPr>
          <w:color w:val="333333"/>
          <w:lang w:val="en"/>
        </w:rPr>
        <w:t>process for the Nationwide Public Safety Broadband Network (NPSBN), a number of public safety broadband proj</w:t>
      </w:r>
      <w:r w:rsidR="004C2DC7">
        <w:rPr>
          <w:color w:val="333333"/>
          <w:lang w:val="en"/>
        </w:rPr>
        <w:t>ects were planned</w:t>
      </w:r>
      <w:r>
        <w:rPr>
          <w:color w:val="333333"/>
          <w:lang w:val="en"/>
        </w:rPr>
        <w:t xml:space="preserve"> in the public safety 700 MHz spectrum in order to provide public safety agencies the opportunity to gain experience utilizing the technology and </w:t>
      </w:r>
      <w:r w:rsidR="00A618AF">
        <w:rPr>
          <w:color w:val="333333"/>
          <w:lang w:val="en"/>
        </w:rPr>
        <w:t>the applications it supports.  Most of these projects were funded through grants as part of the Broadband Technology Opportunities Program (BTOP), administered by the National Telecommunications Information Agency (NTIA).</w:t>
      </w:r>
      <w:r>
        <w:rPr>
          <w:color w:val="333333"/>
          <w:lang w:val="en"/>
        </w:rPr>
        <w:t xml:space="preserve"> </w:t>
      </w:r>
      <w:r w:rsidR="000B727E">
        <w:rPr>
          <w:color w:val="333333"/>
          <w:lang w:val="en"/>
        </w:rPr>
        <w:t xml:space="preserve"> A total of seven BTOP grants were awarded in 2010 to the following recipients</w:t>
      </w:r>
      <w:r w:rsidR="00D5418E">
        <w:rPr>
          <w:color w:val="333333"/>
          <w:lang w:val="en"/>
        </w:rPr>
        <w:t>, who were also issued a waiver by the FCC to utilize the public safety broadband spectrum for these projects</w:t>
      </w:r>
      <w:r w:rsidR="000B727E">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Adams County, CO</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Bay RICS (Bay Area, CA)</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City of Charlotte, NC</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LA RICS</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The State of Mississippi</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The State of New Jersey</w:t>
      </w:r>
      <w:r w:rsidR="00A77BC6">
        <w:rPr>
          <w:color w:val="333333"/>
          <w:lang w:val="en"/>
        </w:rPr>
        <w:t>;</w:t>
      </w:r>
    </w:p>
    <w:p w:rsidR="000B727E" w:rsidRDefault="000B727E" w:rsidP="000B727E">
      <w:pPr>
        <w:pStyle w:val="NormalWeb"/>
        <w:numPr>
          <w:ilvl w:val="0"/>
          <w:numId w:val="2"/>
        </w:numPr>
        <w:shd w:val="clear" w:color="auto" w:fill="FFFFFF"/>
        <w:spacing w:before="0" w:after="120"/>
        <w:rPr>
          <w:color w:val="333333"/>
          <w:lang w:val="en"/>
        </w:rPr>
      </w:pPr>
      <w:r>
        <w:rPr>
          <w:color w:val="333333"/>
          <w:lang w:val="en"/>
        </w:rPr>
        <w:t>The State of New Mexico</w:t>
      </w:r>
      <w:r w:rsidR="00A77BC6">
        <w:rPr>
          <w:color w:val="333333"/>
          <w:lang w:val="en"/>
        </w:rPr>
        <w:t>.</w:t>
      </w:r>
    </w:p>
    <w:p w:rsidR="008725A8" w:rsidRDefault="00A77BC6" w:rsidP="00DE4760">
      <w:pPr>
        <w:pStyle w:val="NormalWeb"/>
        <w:shd w:val="clear" w:color="auto" w:fill="FFFFFF"/>
        <w:spacing w:before="0" w:after="120"/>
        <w:rPr>
          <w:color w:val="333333"/>
          <w:lang w:val="en"/>
        </w:rPr>
      </w:pPr>
      <w:r>
        <w:rPr>
          <w:color w:val="333333"/>
          <w:lang w:val="en"/>
        </w:rPr>
        <w:t xml:space="preserve">While each of these seven agencies began working on their respective broadband projects using the grant funding, they were all ordered by the NTIA to suspend activity in 2012 following passage of the broadband legislation.  Since the legislation established FirstNet as the sole licensee of the public safety broadband spectrum, each of the BTOP awardees were required to negotiate a spectrum lease with FirstNet in order to continue their project.  Of the seven agencies above, Adams County, LA RICS, New Jersey and New Mexico successfully negotiated spectrum lease agreements, while Bay RICS, Charlotte and Mississippi were unable </w:t>
      </w:r>
      <w:r w:rsidR="007005E4">
        <w:rPr>
          <w:color w:val="333333"/>
          <w:lang w:val="en"/>
        </w:rPr>
        <w:t>to come to terms with FirstNet</w:t>
      </w:r>
      <w:r>
        <w:rPr>
          <w:color w:val="333333"/>
          <w:lang w:val="en"/>
        </w:rPr>
        <w:t>.</w:t>
      </w:r>
    </w:p>
    <w:p w:rsidR="00A77BC6" w:rsidRDefault="00A77BC6" w:rsidP="00DE4760">
      <w:pPr>
        <w:pStyle w:val="NormalWeb"/>
        <w:shd w:val="clear" w:color="auto" w:fill="FFFFFF"/>
        <w:spacing w:before="0" w:after="120"/>
        <w:rPr>
          <w:color w:val="333333"/>
          <w:lang w:val="en"/>
        </w:rPr>
      </w:pPr>
      <w:r>
        <w:rPr>
          <w:color w:val="333333"/>
          <w:lang w:val="en"/>
        </w:rPr>
        <w:t xml:space="preserve">In addition to the seven BTOP awardees, Harris County, TX had previously been granted a </w:t>
      </w:r>
      <w:r w:rsidR="0004667F">
        <w:rPr>
          <w:color w:val="333333"/>
          <w:lang w:val="en"/>
        </w:rPr>
        <w:t xml:space="preserve">waiver by the FCC to utilize the public safety broadband spectrum and had initiated a broadband project </w:t>
      </w:r>
      <w:r w:rsidR="00886AC5">
        <w:rPr>
          <w:color w:val="333333"/>
          <w:lang w:val="en"/>
        </w:rPr>
        <w:t xml:space="preserve">via </w:t>
      </w:r>
      <w:r w:rsidR="00886AC5" w:rsidRPr="00144C92">
        <w:rPr>
          <w:color w:val="333333"/>
          <w:lang w:val="en"/>
        </w:rPr>
        <w:t>Federal Emergency Management Agency (FEMA) funds under the Port Security Grant Program.</w:t>
      </w:r>
      <w:r w:rsidR="00144C92">
        <w:rPr>
          <w:color w:val="333333"/>
          <w:lang w:val="en"/>
        </w:rPr>
        <w:t xml:space="preserve">  Harris County and FirstNet have subsequently negotiated a spectrum lease agreement, which allows the County to continue operating its network.</w:t>
      </w:r>
    </w:p>
    <w:p w:rsidR="007005E4" w:rsidRDefault="003D77BB" w:rsidP="007005E4">
      <w:pPr>
        <w:pStyle w:val="NormalWeb"/>
        <w:shd w:val="clear" w:color="auto" w:fill="FFFFFF"/>
        <w:spacing w:before="0" w:after="120"/>
        <w:rPr>
          <w:color w:val="333333"/>
          <w:lang w:val="en"/>
        </w:rPr>
      </w:pPr>
      <w:r>
        <w:rPr>
          <w:color w:val="333333"/>
          <w:lang w:val="en"/>
        </w:rPr>
        <w:t xml:space="preserve">Therefore, taking into account the BTOP awardees </w:t>
      </w:r>
      <w:r w:rsidR="004C2021">
        <w:rPr>
          <w:color w:val="333333"/>
          <w:lang w:val="en"/>
        </w:rPr>
        <w:t>that</w:t>
      </w:r>
      <w:r>
        <w:rPr>
          <w:color w:val="333333"/>
          <w:lang w:val="en"/>
        </w:rPr>
        <w:t xml:space="preserve"> have successfully negotiated a spectrum lease agr</w:t>
      </w:r>
      <w:r w:rsidR="007005E4">
        <w:rPr>
          <w:color w:val="333333"/>
          <w:lang w:val="en"/>
        </w:rPr>
        <w:t>eement with FirstNet, and</w:t>
      </w:r>
      <w:r>
        <w:rPr>
          <w:color w:val="333333"/>
          <w:lang w:val="en"/>
        </w:rPr>
        <w:t xml:space="preserve"> </w:t>
      </w:r>
      <w:r w:rsidR="004C2021">
        <w:rPr>
          <w:color w:val="333333"/>
          <w:lang w:val="en"/>
        </w:rPr>
        <w:t xml:space="preserve">Harris County, a total of five agencies have been designated </w:t>
      </w:r>
      <w:r w:rsidR="004C2021">
        <w:rPr>
          <w:color w:val="333333"/>
          <w:lang w:val="en"/>
        </w:rPr>
        <w:lastRenderedPageBreak/>
        <w:t>the “Early Builders”.</w:t>
      </w:r>
      <w:r w:rsidR="004C2DC7">
        <w:rPr>
          <w:color w:val="333333"/>
          <w:lang w:val="en"/>
        </w:rPr>
        <w:t xml:space="preserve">  </w:t>
      </w:r>
      <w:r w:rsidR="007005E4">
        <w:rPr>
          <w:color w:val="333333"/>
          <w:lang w:val="en"/>
        </w:rPr>
        <w:t xml:space="preserve">A summary </w:t>
      </w:r>
      <w:r w:rsidR="007005E4">
        <w:rPr>
          <w:color w:val="333333"/>
          <w:lang w:val="en"/>
        </w:rPr>
        <w:t>of the current status of</w:t>
      </w:r>
      <w:r w:rsidR="007005E4">
        <w:rPr>
          <w:color w:val="333333"/>
          <w:lang w:val="en"/>
        </w:rPr>
        <w:t xml:space="preserve"> the Early Builder projects is provided below:</w:t>
      </w:r>
    </w:p>
    <w:p w:rsidR="007005E4" w:rsidRPr="004C2021" w:rsidRDefault="007005E4" w:rsidP="007005E4">
      <w:pPr>
        <w:pStyle w:val="NormalWeb"/>
        <w:numPr>
          <w:ilvl w:val="0"/>
          <w:numId w:val="2"/>
        </w:numPr>
        <w:shd w:val="clear" w:color="auto" w:fill="FFFFFF"/>
        <w:spacing w:before="0" w:after="120"/>
        <w:rPr>
          <w:color w:val="333333"/>
        </w:rPr>
      </w:pPr>
      <w:r>
        <w:rPr>
          <w:color w:val="333333"/>
          <w:lang w:val="en"/>
        </w:rPr>
        <w:t>Adams County, CO: Currently operating with 16 sites.</w:t>
      </w:r>
    </w:p>
    <w:p w:rsidR="007005E4" w:rsidRPr="004C2021" w:rsidRDefault="007005E4" w:rsidP="007005E4">
      <w:pPr>
        <w:pStyle w:val="NormalWeb"/>
        <w:numPr>
          <w:ilvl w:val="0"/>
          <w:numId w:val="2"/>
        </w:numPr>
        <w:shd w:val="clear" w:color="auto" w:fill="FFFFFF"/>
        <w:spacing w:before="0" w:after="120"/>
        <w:rPr>
          <w:color w:val="333333"/>
        </w:rPr>
      </w:pPr>
      <w:r>
        <w:rPr>
          <w:color w:val="333333"/>
          <w:lang w:val="en"/>
        </w:rPr>
        <w:t xml:space="preserve">Harris County, TX: </w:t>
      </w:r>
      <w:r>
        <w:rPr>
          <w:color w:val="333333"/>
        </w:rPr>
        <w:t>Currently operating with 11 sites, with plans for a total of 92 sites.</w:t>
      </w:r>
    </w:p>
    <w:p w:rsidR="007005E4" w:rsidRPr="002E0FCE" w:rsidRDefault="007005E4" w:rsidP="007005E4">
      <w:pPr>
        <w:pStyle w:val="NormalWeb"/>
        <w:numPr>
          <w:ilvl w:val="0"/>
          <w:numId w:val="2"/>
        </w:numPr>
        <w:shd w:val="clear" w:color="auto" w:fill="FFFFFF"/>
        <w:spacing w:before="0" w:after="120"/>
        <w:rPr>
          <w:color w:val="333333"/>
        </w:rPr>
      </w:pPr>
      <w:r>
        <w:rPr>
          <w:color w:val="333333"/>
          <w:lang w:val="en"/>
        </w:rPr>
        <w:t xml:space="preserve">LA RICS: </w:t>
      </w:r>
      <w:r>
        <w:rPr>
          <w:color w:val="333333"/>
        </w:rPr>
        <w:t>Priority and QoS: A total of 232 sites planned initially - Construction delayed due to site acquisition issues.</w:t>
      </w:r>
    </w:p>
    <w:p w:rsidR="007005E4" w:rsidRPr="00517A65" w:rsidRDefault="007005E4" w:rsidP="007005E4">
      <w:pPr>
        <w:pStyle w:val="NormalWeb"/>
        <w:numPr>
          <w:ilvl w:val="0"/>
          <w:numId w:val="2"/>
        </w:numPr>
        <w:shd w:val="clear" w:color="auto" w:fill="FFFFFF"/>
        <w:spacing w:before="0" w:after="120"/>
        <w:rPr>
          <w:color w:val="333333"/>
          <w:lang w:val="en"/>
        </w:rPr>
      </w:pPr>
      <w:r>
        <w:rPr>
          <w:color w:val="333333"/>
          <w:lang w:val="en"/>
        </w:rPr>
        <w:t>The State of New Jersey: In the process of procuring</w:t>
      </w:r>
      <w:r w:rsidRPr="00517A65">
        <w:rPr>
          <w:color w:val="333333"/>
          <w:lang w:val="en"/>
        </w:rPr>
        <w:t xml:space="preserve"> a total of 27 deployable assets (COWs and SOWs) in the three proof-of-concept areas (the Route 21 Corridor in north central New Jersey, Camden in southern New Jersey, and Atlantic City on the Jersey Shore.), and 10 assets in ready standby as necessary throughout the State</w:t>
      </w:r>
      <w:r>
        <w:rPr>
          <w:color w:val="333333"/>
          <w:lang w:val="en"/>
        </w:rPr>
        <w:t>.</w:t>
      </w:r>
    </w:p>
    <w:p w:rsidR="007005E4" w:rsidRPr="00045E03" w:rsidRDefault="007005E4" w:rsidP="007005E4">
      <w:pPr>
        <w:pStyle w:val="NormalWeb"/>
        <w:numPr>
          <w:ilvl w:val="0"/>
          <w:numId w:val="2"/>
        </w:numPr>
        <w:shd w:val="clear" w:color="auto" w:fill="FFFFFF"/>
        <w:spacing w:before="0" w:after="120"/>
        <w:rPr>
          <w:color w:val="333333"/>
          <w:lang w:val="en"/>
        </w:rPr>
      </w:pPr>
      <w:r>
        <w:rPr>
          <w:color w:val="333333"/>
          <w:lang w:val="en"/>
        </w:rPr>
        <w:t>The State of New Mexico: In process of deploying a total of 12 sites to be connected to the Harris County core.</w:t>
      </w:r>
    </w:p>
    <w:p w:rsidR="007005E4" w:rsidRDefault="007005E4" w:rsidP="00DE4760">
      <w:pPr>
        <w:pStyle w:val="NormalWeb"/>
        <w:shd w:val="clear" w:color="auto" w:fill="FFFFFF"/>
        <w:spacing w:before="0" w:after="120"/>
        <w:rPr>
          <w:color w:val="333333"/>
          <w:lang w:val="en"/>
        </w:rPr>
      </w:pPr>
      <w:r>
        <w:rPr>
          <w:color w:val="333333"/>
          <w:lang w:val="en"/>
        </w:rPr>
        <w:t>Other states and entities have requested or suggested to FirstNet that they can also act as pilot or trial systems, bu</w:t>
      </w:r>
      <w:r>
        <w:rPr>
          <w:color w:val="333333"/>
          <w:lang w:val="en"/>
        </w:rPr>
        <w:t xml:space="preserve">t FirstNet does not seem </w:t>
      </w:r>
      <w:r>
        <w:rPr>
          <w:color w:val="333333"/>
          <w:lang w:val="en"/>
        </w:rPr>
        <w:t>interested in supporting additional early builders.</w:t>
      </w:r>
    </w:p>
    <w:p w:rsidR="004C2021" w:rsidRDefault="004C2021" w:rsidP="00DE4760">
      <w:pPr>
        <w:pStyle w:val="NormalWeb"/>
        <w:shd w:val="clear" w:color="auto" w:fill="FFFFFF"/>
        <w:spacing w:before="0" w:after="120"/>
        <w:rPr>
          <w:color w:val="333333"/>
          <w:lang w:val="en"/>
        </w:rPr>
      </w:pPr>
      <w:r>
        <w:rPr>
          <w:color w:val="333333"/>
          <w:lang w:val="en"/>
        </w:rPr>
        <w:t>Each of the Early Builders were required, as part of the spectrum lease agreement, to explore specific key learning objectives as part of their project.  A summary of the key objectives for each of the five Early Builders is provided below:</w:t>
      </w:r>
    </w:p>
    <w:p w:rsidR="004C2021" w:rsidRPr="004C2021" w:rsidRDefault="004C2021" w:rsidP="004C2021">
      <w:pPr>
        <w:pStyle w:val="NormalWeb"/>
        <w:numPr>
          <w:ilvl w:val="0"/>
          <w:numId w:val="2"/>
        </w:numPr>
        <w:shd w:val="clear" w:color="auto" w:fill="FFFFFF"/>
        <w:spacing w:before="0" w:after="120"/>
        <w:rPr>
          <w:color w:val="333333"/>
        </w:rPr>
      </w:pPr>
      <w:r>
        <w:rPr>
          <w:color w:val="333333"/>
          <w:lang w:val="en"/>
        </w:rPr>
        <w:t>Adams County, CO</w:t>
      </w:r>
      <w:r>
        <w:rPr>
          <w:color w:val="333333"/>
          <w:lang w:val="en"/>
        </w:rPr>
        <w:t xml:space="preserve">: </w:t>
      </w:r>
      <w:r w:rsidR="007005E4">
        <w:rPr>
          <w:color w:val="333333"/>
        </w:rPr>
        <w:t>PS functionality; D</w:t>
      </w:r>
      <w:bookmarkStart w:id="0" w:name="_GoBack"/>
      <w:bookmarkEnd w:id="0"/>
      <w:r w:rsidR="007005E4" w:rsidRPr="004C2021">
        <w:rPr>
          <w:color w:val="333333"/>
        </w:rPr>
        <w:t>evices</w:t>
      </w:r>
      <w:r>
        <w:rPr>
          <w:color w:val="333333"/>
        </w:rPr>
        <w:t>; Act as Public Safety Communications Research (PSCR) test-bed</w:t>
      </w:r>
    </w:p>
    <w:p w:rsidR="004C2021" w:rsidRPr="004C2021" w:rsidRDefault="004C2021" w:rsidP="004C2021">
      <w:pPr>
        <w:pStyle w:val="NormalWeb"/>
        <w:numPr>
          <w:ilvl w:val="0"/>
          <w:numId w:val="2"/>
        </w:numPr>
        <w:shd w:val="clear" w:color="auto" w:fill="FFFFFF"/>
        <w:spacing w:before="0" w:after="120"/>
        <w:rPr>
          <w:color w:val="333333"/>
        </w:rPr>
      </w:pPr>
      <w:r>
        <w:rPr>
          <w:color w:val="333333"/>
          <w:lang w:val="en"/>
        </w:rPr>
        <w:t xml:space="preserve">Harris County, TX: </w:t>
      </w:r>
      <w:r w:rsidR="002E0FCE">
        <w:rPr>
          <w:color w:val="333333"/>
        </w:rPr>
        <w:t>Data usage; Rural Coverage; Core T</w:t>
      </w:r>
      <w:r w:rsidR="007005E4" w:rsidRPr="004C2021">
        <w:rPr>
          <w:color w:val="333333"/>
        </w:rPr>
        <w:t>ransition</w:t>
      </w:r>
    </w:p>
    <w:p w:rsidR="004C2021" w:rsidRPr="002E0FCE" w:rsidRDefault="004C2021" w:rsidP="004C2021">
      <w:pPr>
        <w:pStyle w:val="NormalWeb"/>
        <w:numPr>
          <w:ilvl w:val="0"/>
          <w:numId w:val="2"/>
        </w:numPr>
        <w:shd w:val="clear" w:color="auto" w:fill="FFFFFF"/>
        <w:spacing w:before="0" w:after="120"/>
        <w:rPr>
          <w:color w:val="333333"/>
        </w:rPr>
      </w:pPr>
      <w:r>
        <w:rPr>
          <w:color w:val="333333"/>
          <w:lang w:val="en"/>
        </w:rPr>
        <w:t>LA RICS</w:t>
      </w:r>
      <w:r>
        <w:rPr>
          <w:color w:val="333333"/>
          <w:lang w:val="en"/>
        </w:rPr>
        <w:t xml:space="preserve">: </w:t>
      </w:r>
      <w:r w:rsidR="00045E03">
        <w:rPr>
          <w:color w:val="333333"/>
        </w:rPr>
        <w:t>Priority and QoS:</w:t>
      </w:r>
      <w:r w:rsidR="002E0FCE">
        <w:rPr>
          <w:color w:val="333333"/>
        </w:rPr>
        <w:t xml:space="preserve"> Utility P</w:t>
      </w:r>
      <w:r w:rsidRPr="004C2021">
        <w:rPr>
          <w:color w:val="333333"/>
        </w:rPr>
        <w:t>artnerships</w:t>
      </w:r>
      <w:r w:rsidR="002E0FCE">
        <w:rPr>
          <w:color w:val="333333"/>
        </w:rPr>
        <w:t>; Leverage Existing Government-Owned P</w:t>
      </w:r>
      <w:r w:rsidR="002E0FCE" w:rsidRPr="002E0FCE">
        <w:rPr>
          <w:color w:val="333333"/>
        </w:rPr>
        <w:t>roperty</w:t>
      </w:r>
    </w:p>
    <w:p w:rsidR="004C2021" w:rsidRPr="004C2021" w:rsidRDefault="004C2021" w:rsidP="004C2021">
      <w:pPr>
        <w:pStyle w:val="NormalWeb"/>
        <w:numPr>
          <w:ilvl w:val="0"/>
          <w:numId w:val="2"/>
        </w:numPr>
        <w:shd w:val="clear" w:color="auto" w:fill="FFFFFF"/>
        <w:spacing w:before="0" w:after="120"/>
        <w:rPr>
          <w:color w:val="333333"/>
        </w:rPr>
      </w:pPr>
      <w:r>
        <w:rPr>
          <w:color w:val="333333"/>
          <w:lang w:val="en"/>
        </w:rPr>
        <w:t>The State of New Jersey</w:t>
      </w:r>
      <w:r>
        <w:rPr>
          <w:color w:val="333333"/>
          <w:lang w:val="en"/>
        </w:rPr>
        <w:t xml:space="preserve">: </w:t>
      </w:r>
      <w:r w:rsidR="002E0FCE">
        <w:rPr>
          <w:color w:val="333333"/>
        </w:rPr>
        <w:t>Deployable Assets; Exercises and Training; NOC O</w:t>
      </w:r>
      <w:r w:rsidR="007005E4" w:rsidRPr="004C2021">
        <w:rPr>
          <w:color w:val="333333"/>
        </w:rPr>
        <w:t>perations</w:t>
      </w:r>
    </w:p>
    <w:p w:rsidR="004C2021" w:rsidRDefault="004C2021" w:rsidP="004C2021">
      <w:pPr>
        <w:pStyle w:val="NormalWeb"/>
        <w:numPr>
          <w:ilvl w:val="0"/>
          <w:numId w:val="2"/>
        </w:numPr>
        <w:shd w:val="clear" w:color="auto" w:fill="FFFFFF"/>
        <w:spacing w:before="0" w:after="120"/>
        <w:rPr>
          <w:color w:val="333333"/>
          <w:lang w:val="en"/>
        </w:rPr>
      </w:pPr>
      <w:r>
        <w:rPr>
          <w:color w:val="333333"/>
          <w:lang w:val="en"/>
        </w:rPr>
        <w:t>The State of New Mexico</w:t>
      </w:r>
      <w:r>
        <w:rPr>
          <w:color w:val="333333"/>
          <w:lang w:val="en"/>
        </w:rPr>
        <w:t xml:space="preserve">: </w:t>
      </w:r>
      <w:r w:rsidR="002E0FCE">
        <w:rPr>
          <w:color w:val="333333"/>
        </w:rPr>
        <w:t>Hosted Core; Border Spectrum Issues; Federal and State Shared U</w:t>
      </w:r>
      <w:r w:rsidRPr="004C2021">
        <w:rPr>
          <w:color w:val="333333"/>
        </w:rPr>
        <w:t>sage</w:t>
      </w:r>
    </w:p>
    <w:p w:rsidR="00045E03" w:rsidRDefault="004C2DC7" w:rsidP="00045E03">
      <w:pPr>
        <w:pStyle w:val="NormalWeb"/>
        <w:shd w:val="clear" w:color="auto" w:fill="FFFFFF"/>
        <w:spacing w:before="0" w:after="120"/>
        <w:rPr>
          <w:color w:val="333333"/>
          <w:lang w:val="en"/>
        </w:rPr>
      </w:pPr>
      <w:r>
        <w:rPr>
          <w:color w:val="333333"/>
        </w:rPr>
        <w:t>FirstNet and t</w:t>
      </w:r>
      <w:r w:rsidR="00C40924">
        <w:rPr>
          <w:color w:val="333333"/>
        </w:rPr>
        <w:t>he</w:t>
      </w:r>
      <w:r>
        <w:rPr>
          <w:color w:val="333333"/>
        </w:rPr>
        <w:t xml:space="preserve"> Public Safety community expect</w:t>
      </w:r>
      <w:r w:rsidR="00C40924">
        <w:rPr>
          <w:color w:val="333333"/>
        </w:rPr>
        <w:t xml:space="preserve"> to learn valuable lessons from these early builder projects</w:t>
      </w:r>
      <w:r>
        <w:rPr>
          <w:color w:val="333333"/>
        </w:rPr>
        <w:t>, which we hope will guide development of the NPSBN and he</w:t>
      </w:r>
      <w:r w:rsidR="007005E4">
        <w:rPr>
          <w:color w:val="333333"/>
        </w:rPr>
        <w:t>lp ensure that the Network successfully supports</w:t>
      </w:r>
      <w:r>
        <w:rPr>
          <w:color w:val="333333"/>
        </w:rPr>
        <w:t xml:space="preserve"> the needs of first responders as it is deployed around the nation.  </w:t>
      </w:r>
      <w:r w:rsidR="00C40924">
        <w:rPr>
          <w:color w:val="333333"/>
        </w:rPr>
        <w:t xml:space="preserve"> </w:t>
      </w:r>
    </w:p>
    <w:p w:rsidR="00045E03" w:rsidRPr="00AA79F3" w:rsidRDefault="00045E03" w:rsidP="008A7E9A">
      <w:pPr>
        <w:spacing w:after="120" w:line="240" w:lineRule="auto"/>
        <w:rPr>
          <w:rFonts w:ascii="Times New Roman" w:hAnsi="Times New Roman" w:cs="Times New Roman"/>
          <w:sz w:val="24"/>
          <w:szCs w:val="24"/>
        </w:rPr>
      </w:pPr>
    </w:p>
    <w:sectPr w:rsidR="00045E03" w:rsidRPr="00A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34582"/>
    <w:multiLevelType w:val="hybridMultilevel"/>
    <w:tmpl w:val="8FE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442CF"/>
    <w:multiLevelType w:val="hybridMultilevel"/>
    <w:tmpl w:val="81203308"/>
    <w:lvl w:ilvl="0" w:tplc="488EF4BC">
      <w:start w:val="1"/>
      <w:numFmt w:val="bullet"/>
      <w:lvlText w:val="•"/>
      <w:lvlJc w:val="left"/>
      <w:pPr>
        <w:tabs>
          <w:tab w:val="num" w:pos="720"/>
        </w:tabs>
        <w:ind w:left="720" w:hanging="360"/>
      </w:pPr>
      <w:rPr>
        <w:rFonts w:ascii="Arial" w:hAnsi="Arial" w:hint="default"/>
      </w:rPr>
    </w:lvl>
    <w:lvl w:ilvl="1" w:tplc="5EE83D3E" w:tentative="1">
      <w:start w:val="1"/>
      <w:numFmt w:val="bullet"/>
      <w:lvlText w:val="•"/>
      <w:lvlJc w:val="left"/>
      <w:pPr>
        <w:tabs>
          <w:tab w:val="num" w:pos="1440"/>
        </w:tabs>
        <w:ind w:left="1440" w:hanging="360"/>
      </w:pPr>
      <w:rPr>
        <w:rFonts w:ascii="Arial" w:hAnsi="Arial" w:hint="default"/>
      </w:rPr>
    </w:lvl>
    <w:lvl w:ilvl="2" w:tplc="DC7AE864" w:tentative="1">
      <w:start w:val="1"/>
      <w:numFmt w:val="bullet"/>
      <w:lvlText w:val="•"/>
      <w:lvlJc w:val="left"/>
      <w:pPr>
        <w:tabs>
          <w:tab w:val="num" w:pos="2160"/>
        </w:tabs>
        <w:ind w:left="2160" w:hanging="360"/>
      </w:pPr>
      <w:rPr>
        <w:rFonts w:ascii="Arial" w:hAnsi="Arial" w:hint="default"/>
      </w:rPr>
    </w:lvl>
    <w:lvl w:ilvl="3" w:tplc="0C3C9A3A" w:tentative="1">
      <w:start w:val="1"/>
      <w:numFmt w:val="bullet"/>
      <w:lvlText w:val="•"/>
      <w:lvlJc w:val="left"/>
      <w:pPr>
        <w:tabs>
          <w:tab w:val="num" w:pos="2880"/>
        </w:tabs>
        <w:ind w:left="2880" w:hanging="360"/>
      </w:pPr>
      <w:rPr>
        <w:rFonts w:ascii="Arial" w:hAnsi="Arial" w:hint="default"/>
      </w:rPr>
    </w:lvl>
    <w:lvl w:ilvl="4" w:tplc="430CB6B0" w:tentative="1">
      <w:start w:val="1"/>
      <w:numFmt w:val="bullet"/>
      <w:lvlText w:val="•"/>
      <w:lvlJc w:val="left"/>
      <w:pPr>
        <w:tabs>
          <w:tab w:val="num" w:pos="3600"/>
        </w:tabs>
        <w:ind w:left="3600" w:hanging="360"/>
      </w:pPr>
      <w:rPr>
        <w:rFonts w:ascii="Arial" w:hAnsi="Arial" w:hint="default"/>
      </w:rPr>
    </w:lvl>
    <w:lvl w:ilvl="5" w:tplc="1042228E" w:tentative="1">
      <w:start w:val="1"/>
      <w:numFmt w:val="bullet"/>
      <w:lvlText w:val="•"/>
      <w:lvlJc w:val="left"/>
      <w:pPr>
        <w:tabs>
          <w:tab w:val="num" w:pos="4320"/>
        </w:tabs>
        <w:ind w:left="4320" w:hanging="360"/>
      </w:pPr>
      <w:rPr>
        <w:rFonts w:ascii="Arial" w:hAnsi="Arial" w:hint="default"/>
      </w:rPr>
    </w:lvl>
    <w:lvl w:ilvl="6" w:tplc="167E2782" w:tentative="1">
      <w:start w:val="1"/>
      <w:numFmt w:val="bullet"/>
      <w:lvlText w:val="•"/>
      <w:lvlJc w:val="left"/>
      <w:pPr>
        <w:tabs>
          <w:tab w:val="num" w:pos="5040"/>
        </w:tabs>
        <w:ind w:left="5040" w:hanging="360"/>
      </w:pPr>
      <w:rPr>
        <w:rFonts w:ascii="Arial" w:hAnsi="Arial" w:hint="default"/>
      </w:rPr>
    </w:lvl>
    <w:lvl w:ilvl="7" w:tplc="1AD6EA92" w:tentative="1">
      <w:start w:val="1"/>
      <w:numFmt w:val="bullet"/>
      <w:lvlText w:val="•"/>
      <w:lvlJc w:val="left"/>
      <w:pPr>
        <w:tabs>
          <w:tab w:val="num" w:pos="5760"/>
        </w:tabs>
        <w:ind w:left="5760" w:hanging="360"/>
      </w:pPr>
      <w:rPr>
        <w:rFonts w:ascii="Arial" w:hAnsi="Arial" w:hint="default"/>
      </w:rPr>
    </w:lvl>
    <w:lvl w:ilvl="8" w:tplc="889E8A94" w:tentative="1">
      <w:start w:val="1"/>
      <w:numFmt w:val="bullet"/>
      <w:lvlText w:val="•"/>
      <w:lvlJc w:val="left"/>
      <w:pPr>
        <w:tabs>
          <w:tab w:val="num" w:pos="6480"/>
        </w:tabs>
        <w:ind w:left="6480" w:hanging="360"/>
      </w:pPr>
      <w:rPr>
        <w:rFonts w:ascii="Arial" w:hAnsi="Arial" w:hint="default"/>
      </w:rPr>
    </w:lvl>
  </w:abstractNum>
  <w:abstractNum w:abstractNumId="2">
    <w:nsid w:val="45F748D6"/>
    <w:multiLevelType w:val="hybridMultilevel"/>
    <w:tmpl w:val="02EA3FF8"/>
    <w:lvl w:ilvl="0" w:tplc="6CE04224">
      <w:start w:val="1"/>
      <w:numFmt w:val="bullet"/>
      <w:lvlText w:val="•"/>
      <w:lvlJc w:val="left"/>
      <w:pPr>
        <w:tabs>
          <w:tab w:val="num" w:pos="720"/>
        </w:tabs>
        <w:ind w:left="720" w:hanging="360"/>
      </w:pPr>
      <w:rPr>
        <w:rFonts w:ascii="Arial" w:hAnsi="Arial" w:hint="default"/>
      </w:rPr>
    </w:lvl>
    <w:lvl w:ilvl="1" w:tplc="F050F636" w:tentative="1">
      <w:start w:val="1"/>
      <w:numFmt w:val="bullet"/>
      <w:lvlText w:val="•"/>
      <w:lvlJc w:val="left"/>
      <w:pPr>
        <w:tabs>
          <w:tab w:val="num" w:pos="1440"/>
        </w:tabs>
        <w:ind w:left="1440" w:hanging="360"/>
      </w:pPr>
      <w:rPr>
        <w:rFonts w:ascii="Arial" w:hAnsi="Arial" w:hint="default"/>
      </w:rPr>
    </w:lvl>
    <w:lvl w:ilvl="2" w:tplc="40E4F348" w:tentative="1">
      <w:start w:val="1"/>
      <w:numFmt w:val="bullet"/>
      <w:lvlText w:val="•"/>
      <w:lvlJc w:val="left"/>
      <w:pPr>
        <w:tabs>
          <w:tab w:val="num" w:pos="2160"/>
        </w:tabs>
        <w:ind w:left="2160" w:hanging="360"/>
      </w:pPr>
      <w:rPr>
        <w:rFonts w:ascii="Arial" w:hAnsi="Arial" w:hint="default"/>
      </w:rPr>
    </w:lvl>
    <w:lvl w:ilvl="3" w:tplc="C2748EE4" w:tentative="1">
      <w:start w:val="1"/>
      <w:numFmt w:val="bullet"/>
      <w:lvlText w:val="•"/>
      <w:lvlJc w:val="left"/>
      <w:pPr>
        <w:tabs>
          <w:tab w:val="num" w:pos="2880"/>
        </w:tabs>
        <w:ind w:left="2880" w:hanging="360"/>
      </w:pPr>
      <w:rPr>
        <w:rFonts w:ascii="Arial" w:hAnsi="Arial" w:hint="default"/>
      </w:rPr>
    </w:lvl>
    <w:lvl w:ilvl="4" w:tplc="2DAEBF26" w:tentative="1">
      <w:start w:val="1"/>
      <w:numFmt w:val="bullet"/>
      <w:lvlText w:val="•"/>
      <w:lvlJc w:val="left"/>
      <w:pPr>
        <w:tabs>
          <w:tab w:val="num" w:pos="3600"/>
        </w:tabs>
        <w:ind w:left="3600" w:hanging="360"/>
      </w:pPr>
      <w:rPr>
        <w:rFonts w:ascii="Arial" w:hAnsi="Arial" w:hint="default"/>
      </w:rPr>
    </w:lvl>
    <w:lvl w:ilvl="5" w:tplc="9C864D52" w:tentative="1">
      <w:start w:val="1"/>
      <w:numFmt w:val="bullet"/>
      <w:lvlText w:val="•"/>
      <w:lvlJc w:val="left"/>
      <w:pPr>
        <w:tabs>
          <w:tab w:val="num" w:pos="4320"/>
        </w:tabs>
        <w:ind w:left="4320" w:hanging="360"/>
      </w:pPr>
      <w:rPr>
        <w:rFonts w:ascii="Arial" w:hAnsi="Arial" w:hint="default"/>
      </w:rPr>
    </w:lvl>
    <w:lvl w:ilvl="6" w:tplc="B7A49926" w:tentative="1">
      <w:start w:val="1"/>
      <w:numFmt w:val="bullet"/>
      <w:lvlText w:val="•"/>
      <w:lvlJc w:val="left"/>
      <w:pPr>
        <w:tabs>
          <w:tab w:val="num" w:pos="5040"/>
        </w:tabs>
        <w:ind w:left="5040" w:hanging="360"/>
      </w:pPr>
      <w:rPr>
        <w:rFonts w:ascii="Arial" w:hAnsi="Arial" w:hint="default"/>
      </w:rPr>
    </w:lvl>
    <w:lvl w:ilvl="7" w:tplc="C16E2436" w:tentative="1">
      <w:start w:val="1"/>
      <w:numFmt w:val="bullet"/>
      <w:lvlText w:val="•"/>
      <w:lvlJc w:val="left"/>
      <w:pPr>
        <w:tabs>
          <w:tab w:val="num" w:pos="5760"/>
        </w:tabs>
        <w:ind w:left="5760" w:hanging="360"/>
      </w:pPr>
      <w:rPr>
        <w:rFonts w:ascii="Arial" w:hAnsi="Arial" w:hint="default"/>
      </w:rPr>
    </w:lvl>
    <w:lvl w:ilvl="8" w:tplc="B770DE66" w:tentative="1">
      <w:start w:val="1"/>
      <w:numFmt w:val="bullet"/>
      <w:lvlText w:val="•"/>
      <w:lvlJc w:val="left"/>
      <w:pPr>
        <w:tabs>
          <w:tab w:val="num" w:pos="6480"/>
        </w:tabs>
        <w:ind w:left="6480" w:hanging="360"/>
      </w:pPr>
      <w:rPr>
        <w:rFonts w:ascii="Arial" w:hAnsi="Arial" w:hint="default"/>
      </w:rPr>
    </w:lvl>
  </w:abstractNum>
  <w:abstractNum w:abstractNumId="3">
    <w:nsid w:val="5E037684"/>
    <w:multiLevelType w:val="hybridMultilevel"/>
    <w:tmpl w:val="CBE0C6D0"/>
    <w:lvl w:ilvl="0" w:tplc="C31A4E30">
      <w:start w:val="1"/>
      <w:numFmt w:val="bullet"/>
      <w:lvlText w:val="–"/>
      <w:lvlJc w:val="left"/>
      <w:pPr>
        <w:tabs>
          <w:tab w:val="num" w:pos="720"/>
        </w:tabs>
        <w:ind w:left="720" w:hanging="360"/>
      </w:pPr>
      <w:rPr>
        <w:rFonts w:ascii="Lucida Grande" w:hAnsi="Lucida Grande" w:hint="default"/>
      </w:rPr>
    </w:lvl>
    <w:lvl w:ilvl="1" w:tplc="ED100ABC">
      <w:start w:val="1"/>
      <w:numFmt w:val="bullet"/>
      <w:lvlText w:val="–"/>
      <w:lvlJc w:val="left"/>
      <w:pPr>
        <w:tabs>
          <w:tab w:val="num" w:pos="1440"/>
        </w:tabs>
        <w:ind w:left="1440" w:hanging="360"/>
      </w:pPr>
      <w:rPr>
        <w:rFonts w:ascii="Lucida Grande" w:hAnsi="Lucida Grande" w:hint="default"/>
      </w:rPr>
    </w:lvl>
    <w:lvl w:ilvl="2" w:tplc="30B876E4" w:tentative="1">
      <w:start w:val="1"/>
      <w:numFmt w:val="bullet"/>
      <w:lvlText w:val="–"/>
      <w:lvlJc w:val="left"/>
      <w:pPr>
        <w:tabs>
          <w:tab w:val="num" w:pos="2160"/>
        </w:tabs>
        <w:ind w:left="2160" w:hanging="360"/>
      </w:pPr>
      <w:rPr>
        <w:rFonts w:ascii="Lucida Grande" w:hAnsi="Lucida Grande" w:hint="default"/>
      </w:rPr>
    </w:lvl>
    <w:lvl w:ilvl="3" w:tplc="AA2A9C3E" w:tentative="1">
      <w:start w:val="1"/>
      <w:numFmt w:val="bullet"/>
      <w:lvlText w:val="–"/>
      <w:lvlJc w:val="left"/>
      <w:pPr>
        <w:tabs>
          <w:tab w:val="num" w:pos="2880"/>
        </w:tabs>
        <w:ind w:left="2880" w:hanging="360"/>
      </w:pPr>
      <w:rPr>
        <w:rFonts w:ascii="Lucida Grande" w:hAnsi="Lucida Grande" w:hint="default"/>
      </w:rPr>
    </w:lvl>
    <w:lvl w:ilvl="4" w:tplc="81228698" w:tentative="1">
      <w:start w:val="1"/>
      <w:numFmt w:val="bullet"/>
      <w:lvlText w:val="–"/>
      <w:lvlJc w:val="left"/>
      <w:pPr>
        <w:tabs>
          <w:tab w:val="num" w:pos="3600"/>
        </w:tabs>
        <w:ind w:left="3600" w:hanging="360"/>
      </w:pPr>
      <w:rPr>
        <w:rFonts w:ascii="Lucida Grande" w:hAnsi="Lucida Grande" w:hint="default"/>
      </w:rPr>
    </w:lvl>
    <w:lvl w:ilvl="5" w:tplc="E2A46C62" w:tentative="1">
      <w:start w:val="1"/>
      <w:numFmt w:val="bullet"/>
      <w:lvlText w:val="–"/>
      <w:lvlJc w:val="left"/>
      <w:pPr>
        <w:tabs>
          <w:tab w:val="num" w:pos="4320"/>
        </w:tabs>
        <w:ind w:left="4320" w:hanging="360"/>
      </w:pPr>
      <w:rPr>
        <w:rFonts w:ascii="Lucida Grande" w:hAnsi="Lucida Grande" w:hint="default"/>
      </w:rPr>
    </w:lvl>
    <w:lvl w:ilvl="6" w:tplc="5C6027A6" w:tentative="1">
      <w:start w:val="1"/>
      <w:numFmt w:val="bullet"/>
      <w:lvlText w:val="–"/>
      <w:lvlJc w:val="left"/>
      <w:pPr>
        <w:tabs>
          <w:tab w:val="num" w:pos="5040"/>
        </w:tabs>
        <w:ind w:left="5040" w:hanging="360"/>
      </w:pPr>
      <w:rPr>
        <w:rFonts w:ascii="Lucida Grande" w:hAnsi="Lucida Grande" w:hint="default"/>
      </w:rPr>
    </w:lvl>
    <w:lvl w:ilvl="7" w:tplc="5CE0525E" w:tentative="1">
      <w:start w:val="1"/>
      <w:numFmt w:val="bullet"/>
      <w:lvlText w:val="–"/>
      <w:lvlJc w:val="left"/>
      <w:pPr>
        <w:tabs>
          <w:tab w:val="num" w:pos="5760"/>
        </w:tabs>
        <w:ind w:left="5760" w:hanging="360"/>
      </w:pPr>
      <w:rPr>
        <w:rFonts w:ascii="Lucida Grande" w:hAnsi="Lucida Grande" w:hint="default"/>
      </w:rPr>
    </w:lvl>
    <w:lvl w:ilvl="8" w:tplc="550882C6" w:tentative="1">
      <w:start w:val="1"/>
      <w:numFmt w:val="bullet"/>
      <w:lvlText w:val="–"/>
      <w:lvlJc w:val="left"/>
      <w:pPr>
        <w:tabs>
          <w:tab w:val="num" w:pos="6480"/>
        </w:tabs>
        <w:ind w:left="6480" w:hanging="360"/>
      </w:pPr>
      <w:rPr>
        <w:rFonts w:ascii="Lucida Grande" w:hAnsi="Lucida Grande" w:hint="default"/>
      </w:rPr>
    </w:lvl>
  </w:abstractNum>
  <w:abstractNum w:abstractNumId="4">
    <w:nsid w:val="6E1140D1"/>
    <w:multiLevelType w:val="hybridMultilevel"/>
    <w:tmpl w:val="92BCCF8C"/>
    <w:lvl w:ilvl="0" w:tplc="A50C4CFE">
      <w:start w:val="1"/>
      <w:numFmt w:val="bullet"/>
      <w:lvlText w:val="•"/>
      <w:lvlJc w:val="left"/>
      <w:pPr>
        <w:tabs>
          <w:tab w:val="num" w:pos="720"/>
        </w:tabs>
        <w:ind w:left="720" w:hanging="360"/>
      </w:pPr>
      <w:rPr>
        <w:rFonts w:ascii="Arial" w:hAnsi="Arial" w:hint="default"/>
      </w:rPr>
    </w:lvl>
    <w:lvl w:ilvl="1" w:tplc="355E9DB4" w:tentative="1">
      <w:start w:val="1"/>
      <w:numFmt w:val="bullet"/>
      <w:lvlText w:val="•"/>
      <w:lvlJc w:val="left"/>
      <w:pPr>
        <w:tabs>
          <w:tab w:val="num" w:pos="1440"/>
        </w:tabs>
        <w:ind w:left="1440" w:hanging="360"/>
      </w:pPr>
      <w:rPr>
        <w:rFonts w:ascii="Arial" w:hAnsi="Arial" w:hint="default"/>
      </w:rPr>
    </w:lvl>
    <w:lvl w:ilvl="2" w:tplc="AB22CA7C" w:tentative="1">
      <w:start w:val="1"/>
      <w:numFmt w:val="bullet"/>
      <w:lvlText w:val="•"/>
      <w:lvlJc w:val="left"/>
      <w:pPr>
        <w:tabs>
          <w:tab w:val="num" w:pos="2160"/>
        </w:tabs>
        <w:ind w:left="2160" w:hanging="360"/>
      </w:pPr>
      <w:rPr>
        <w:rFonts w:ascii="Arial" w:hAnsi="Arial" w:hint="default"/>
      </w:rPr>
    </w:lvl>
    <w:lvl w:ilvl="3" w:tplc="A15A6726" w:tentative="1">
      <w:start w:val="1"/>
      <w:numFmt w:val="bullet"/>
      <w:lvlText w:val="•"/>
      <w:lvlJc w:val="left"/>
      <w:pPr>
        <w:tabs>
          <w:tab w:val="num" w:pos="2880"/>
        </w:tabs>
        <w:ind w:left="2880" w:hanging="360"/>
      </w:pPr>
      <w:rPr>
        <w:rFonts w:ascii="Arial" w:hAnsi="Arial" w:hint="default"/>
      </w:rPr>
    </w:lvl>
    <w:lvl w:ilvl="4" w:tplc="98F8E3C0" w:tentative="1">
      <w:start w:val="1"/>
      <w:numFmt w:val="bullet"/>
      <w:lvlText w:val="•"/>
      <w:lvlJc w:val="left"/>
      <w:pPr>
        <w:tabs>
          <w:tab w:val="num" w:pos="3600"/>
        </w:tabs>
        <w:ind w:left="3600" w:hanging="360"/>
      </w:pPr>
      <w:rPr>
        <w:rFonts w:ascii="Arial" w:hAnsi="Arial" w:hint="default"/>
      </w:rPr>
    </w:lvl>
    <w:lvl w:ilvl="5" w:tplc="BABEA28A" w:tentative="1">
      <w:start w:val="1"/>
      <w:numFmt w:val="bullet"/>
      <w:lvlText w:val="•"/>
      <w:lvlJc w:val="left"/>
      <w:pPr>
        <w:tabs>
          <w:tab w:val="num" w:pos="4320"/>
        </w:tabs>
        <w:ind w:left="4320" w:hanging="360"/>
      </w:pPr>
      <w:rPr>
        <w:rFonts w:ascii="Arial" w:hAnsi="Arial" w:hint="default"/>
      </w:rPr>
    </w:lvl>
    <w:lvl w:ilvl="6" w:tplc="22F219F4" w:tentative="1">
      <w:start w:val="1"/>
      <w:numFmt w:val="bullet"/>
      <w:lvlText w:val="•"/>
      <w:lvlJc w:val="left"/>
      <w:pPr>
        <w:tabs>
          <w:tab w:val="num" w:pos="5040"/>
        </w:tabs>
        <w:ind w:left="5040" w:hanging="360"/>
      </w:pPr>
      <w:rPr>
        <w:rFonts w:ascii="Arial" w:hAnsi="Arial" w:hint="default"/>
      </w:rPr>
    </w:lvl>
    <w:lvl w:ilvl="7" w:tplc="1DA24110" w:tentative="1">
      <w:start w:val="1"/>
      <w:numFmt w:val="bullet"/>
      <w:lvlText w:val="•"/>
      <w:lvlJc w:val="left"/>
      <w:pPr>
        <w:tabs>
          <w:tab w:val="num" w:pos="5760"/>
        </w:tabs>
        <w:ind w:left="5760" w:hanging="360"/>
      </w:pPr>
      <w:rPr>
        <w:rFonts w:ascii="Arial" w:hAnsi="Arial" w:hint="default"/>
      </w:rPr>
    </w:lvl>
    <w:lvl w:ilvl="8" w:tplc="67FCBEA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77"/>
    <w:rsid w:val="00031F80"/>
    <w:rsid w:val="00045E03"/>
    <w:rsid w:val="0004667F"/>
    <w:rsid w:val="000B727E"/>
    <w:rsid w:val="00144C92"/>
    <w:rsid w:val="001C253B"/>
    <w:rsid w:val="002E0FCE"/>
    <w:rsid w:val="0031713B"/>
    <w:rsid w:val="003246B1"/>
    <w:rsid w:val="003877CC"/>
    <w:rsid w:val="003D77BB"/>
    <w:rsid w:val="00415ABE"/>
    <w:rsid w:val="004237F6"/>
    <w:rsid w:val="004C2021"/>
    <w:rsid w:val="004C2DC7"/>
    <w:rsid w:val="00517A65"/>
    <w:rsid w:val="0059246B"/>
    <w:rsid w:val="005E24F6"/>
    <w:rsid w:val="00625788"/>
    <w:rsid w:val="007005E4"/>
    <w:rsid w:val="007251A6"/>
    <w:rsid w:val="007B4C09"/>
    <w:rsid w:val="008725A8"/>
    <w:rsid w:val="0088086D"/>
    <w:rsid w:val="00886AC5"/>
    <w:rsid w:val="00892877"/>
    <w:rsid w:val="008A7E9A"/>
    <w:rsid w:val="00910B01"/>
    <w:rsid w:val="00931F05"/>
    <w:rsid w:val="00957C0A"/>
    <w:rsid w:val="009F5626"/>
    <w:rsid w:val="00A618AF"/>
    <w:rsid w:val="00A72BAF"/>
    <w:rsid w:val="00A77BC6"/>
    <w:rsid w:val="00AA79F3"/>
    <w:rsid w:val="00B069A2"/>
    <w:rsid w:val="00C40924"/>
    <w:rsid w:val="00CF66DC"/>
    <w:rsid w:val="00D1581E"/>
    <w:rsid w:val="00D5418E"/>
    <w:rsid w:val="00DE4760"/>
    <w:rsid w:val="00DE5B98"/>
    <w:rsid w:val="00DE6BE4"/>
    <w:rsid w:val="00E22740"/>
    <w:rsid w:val="00E95F38"/>
    <w:rsid w:val="00E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 w:type="paragraph" w:styleId="ListParagraph">
    <w:name w:val="List Paragraph"/>
    <w:basedOn w:val="Normal"/>
    <w:uiPriority w:val="34"/>
    <w:qFormat/>
    <w:rsid w:val="004C2021"/>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 w:type="paragraph" w:styleId="ListParagraph">
    <w:name w:val="List Paragraph"/>
    <w:basedOn w:val="Normal"/>
    <w:uiPriority w:val="34"/>
    <w:qFormat/>
    <w:rsid w:val="004C202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6116">
      <w:bodyDiv w:val="1"/>
      <w:marLeft w:val="0"/>
      <w:marRight w:val="0"/>
      <w:marTop w:val="0"/>
      <w:marBottom w:val="0"/>
      <w:divBdr>
        <w:top w:val="none" w:sz="0" w:space="0" w:color="auto"/>
        <w:left w:val="none" w:sz="0" w:space="0" w:color="auto"/>
        <w:bottom w:val="none" w:sz="0" w:space="0" w:color="auto"/>
        <w:right w:val="none" w:sz="0" w:space="0" w:color="auto"/>
      </w:divBdr>
      <w:divsChild>
        <w:div w:id="1313219780">
          <w:marLeft w:val="0"/>
          <w:marRight w:val="0"/>
          <w:marTop w:val="0"/>
          <w:marBottom w:val="0"/>
          <w:divBdr>
            <w:top w:val="none" w:sz="0" w:space="0" w:color="auto"/>
            <w:left w:val="none" w:sz="0" w:space="0" w:color="auto"/>
            <w:bottom w:val="none" w:sz="0" w:space="0" w:color="auto"/>
            <w:right w:val="none" w:sz="0" w:space="0" w:color="auto"/>
          </w:divBdr>
          <w:divsChild>
            <w:div w:id="2023433527">
              <w:marLeft w:val="0"/>
              <w:marRight w:val="0"/>
              <w:marTop w:val="0"/>
              <w:marBottom w:val="0"/>
              <w:divBdr>
                <w:top w:val="none" w:sz="0" w:space="0" w:color="auto"/>
                <w:left w:val="none" w:sz="0" w:space="0" w:color="auto"/>
                <w:bottom w:val="none" w:sz="0" w:space="0" w:color="auto"/>
                <w:right w:val="none" w:sz="0" w:space="0" w:color="auto"/>
              </w:divBdr>
              <w:divsChild>
                <w:div w:id="122427427">
                  <w:marLeft w:val="0"/>
                  <w:marRight w:val="0"/>
                  <w:marTop w:val="0"/>
                  <w:marBottom w:val="0"/>
                  <w:divBdr>
                    <w:top w:val="none" w:sz="0" w:space="0" w:color="auto"/>
                    <w:left w:val="none" w:sz="0" w:space="0" w:color="auto"/>
                    <w:bottom w:val="none" w:sz="0" w:space="0" w:color="auto"/>
                    <w:right w:val="none" w:sz="0" w:space="0" w:color="auto"/>
                  </w:divBdr>
                  <w:divsChild>
                    <w:div w:id="561212457">
                      <w:marLeft w:val="0"/>
                      <w:marRight w:val="0"/>
                      <w:marTop w:val="0"/>
                      <w:marBottom w:val="225"/>
                      <w:divBdr>
                        <w:top w:val="none" w:sz="0" w:space="0" w:color="auto"/>
                        <w:left w:val="none" w:sz="0" w:space="0" w:color="auto"/>
                        <w:bottom w:val="single" w:sz="18" w:space="0" w:color="FF6500"/>
                        <w:right w:val="none" w:sz="0" w:space="0" w:color="auto"/>
                      </w:divBdr>
                      <w:divsChild>
                        <w:div w:id="1285308351">
                          <w:marLeft w:val="0"/>
                          <w:marRight w:val="0"/>
                          <w:marTop w:val="0"/>
                          <w:marBottom w:val="0"/>
                          <w:divBdr>
                            <w:top w:val="none" w:sz="0" w:space="0" w:color="auto"/>
                            <w:left w:val="none" w:sz="0" w:space="0" w:color="auto"/>
                            <w:bottom w:val="none" w:sz="0" w:space="0" w:color="auto"/>
                            <w:right w:val="none" w:sz="0" w:space="0" w:color="auto"/>
                          </w:divBdr>
                          <w:divsChild>
                            <w:div w:id="1153642441">
                              <w:marLeft w:val="0"/>
                              <w:marRight w:val="0"/>
                              <w:marTop w:val="0"/>
                              <w:marBottom w:val="0"/>
                              <w:divBdr>
                                <w:top w:val="none" w:sz="0" w:space="0" w:color="auto"/>
                                <w:left w:val="none" w:sz="0" w:space="0" w:color="auto"/>
                                <w:bottom w:val="none" w:sz="0" w:space="0" w:color="auto"/>
                                <w:right w:val="none" w:sz="0" w:space="0" w:color="auto"/>
                              </w:divBdr>
                              <w:divsChild>
                                <w:div w:id="860438811">
                                  <w:marLeft w:val="0"/>
                                  <w:marRight w:val="0"/>
                                  <w:marTop w:val="0"/>
                                  <w:marBottom w:val="0"/>
                                  <w:divBdr>
                                    <w:top w:val="none" w:sz="0" w:space="0" w:color="auto"/>
                                    <w:left w:val="none" w:sz="0" w:space="0" w:color="auto"/>
                                    <w:bottom w:val="none" w:sz="0" w:space="0" w:color="auto"/>
                                    <w:right w:val="none" w:sz="0" w:space="0" w:color="auto"/>
                                  </w:divBdr>
                                  <w:divsChild>
                                    <w:div w:id="478380025">
                                      <w:marLeft w:val="0"/>
                                      <w:marRight w:val="0"/>
                                      <w:marTop w:val="0"/>
                                      <w:marBottom w:val="0"/>
                                      <w:divBdr>
                                        <w:top w:val="none" w:sz="0" w:space="0" w:color="auto"/>
                                        <w:left w:val="none" w:sz="0" w:space="0" w:color="auto"/>
                                        <w:bottom w:val="none" w:sz="0" w:space="0" w:color="auto"/>
                                        <w:right w:val="none" w:sz="0" w:space="0" w:color="auto"/>
                                      </w:divBdr>
                                      <w:divsChild>
                                        <w:div w:id="1819616756">
                                          <w:marLeft w:val="0"/>
                                          <w:marRight w:val="0"/>
                                          <w:marTop w:val="0"/>
                                          <w:marBottom w:val="0"/>
                                          <w:divBdr>
                                            <w:top w:val="none" w:sz="0" w:space="0" w:color="auto"/>
                                            <w:left w:val="none" w:sz="0" w:space="0" w:color="auto"/>
                                            <w:bottom w:val="none" w:sz="0" w:space="0" w:color="auto"/>
                                            <w:right w:val="none" w:sz="0" w:space="0" w:color="auto"/>
                                          </w:divBdr>
                                          <w:divsChild>
                                            <w:div w:id="1482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520450">
      <w:bodyDiv w:val="1"/>
      <w:marLeft w:val="0"/>
      <w:marRight w:val="0"/>
      <w:marTop w:val="0"/>
      <w:marBottom w:val="0"/>
      <w:divBdr>
        <w:top w:val="none" w:sz="0" w:space="0" w:color="auto"/>
        <w:left w:val="none" w:sz="0" w:space="0" w:color="auto"/>
        <w:bottom w:val="none" w:sz="0" w:space="0" w:color="auto"/>
        <w:right w:val="none" w:sz="0" w:space="0" w:color="auto"/>
      </w:divBdr>
      <w:divsChild>
        <w:div w:id="2073573134">
          <w:marLeft w:val="547"/>
          <w:marRight w:val="0"/>
          <w:marTop w:val="154"/>
          <w:marBottom w:val="0"/>
          <w:divBdr>
            <w:top w:val="none" w:sz="0" w:space="0" w:color="auto"/>
            <w:left w:val="none" w:sz="0" w:space="0" w:color="auto"/>
            <w:bottom w:val="none" w:sz="0" w:space="0" w:color="auto"/>
            <w:right w:val="none" w:sz="0" w:space="0" w:color="auto"/>
          </w:divBdr>
        </w:div>
      </w:divsChild>
    </w:div>
    <w:div w:id="1216432617">
      <w:bodyDiv w:val="1"/>
      <w:marLeft w:val="0"/>
      <w:marRight w:val="0"/>
      <w:marTop w:val="0"/>
      <w:marBottom w:val="0"/>
      <w:divBdr>
        <w:top w:val="none" w:sz="0" w:space="0" w:color="auto"/>
        <w:left w:val="none" w:sz="0" w:space="0" w:color="auto"/>
        <w:bottom w:val="none" w:sz="0" w:space="0" w:color="auto"/>
        <w:right w:val="none" w:sz="0" w:space="0" w:color="auto"/>
      </w:divBdr>
      <w:divsChild>
        <w:div w:id="241524464">
          <w:marLeft w:val="547"/>
          <w:marRight w:val="0"/>
          <w:marTop w:val="154"/>
          <w:marBottom w:val="0"/>
          <w:divBdr>
            <w:top w:val="none" w:sz="0" w:space="0" w:color="auto"/>
            <w:left w:val="none" w:sz="0" w:space="0" w:color="auto"/>
            <w:bottom w:val="none" w:sz="0" w:space="0" w:color="auto"/>
            <w:right w:val="none" w:sz="0" w:space="0" w:color="auto"/>
          </w:divBdr>
        </w:div>
      </w:divsChild>
    </w:div>
    <w:div w:id="1368146025">
      <w:bodyDiv w:val="1"/>
      <w:marLeft w:val="0"/>
      <w:marRight w:val="0"/>
      <w:marTop w:val="0"/>
      <w:marBottom w:val="0"/>
      <w:divBdr>
        <w:top w:val="none" w:sz="0" w:space="0" w:color="auto"/>
        <w:left w:val="none" w:sz="0" w:space="0" w:color="auto"/>
        <w:bottom w:val="none" w:sz="0" w:space="0" w:color="auto"/>
        <w:right w:val="none" w:sz="0" w:space="0" w:color="auto"/>
      </w:divBdr>
      <w:divsChild>
        <w:div w:id="1019312608">
          <w:marLeft w:val="1267"/>
          <w:marRight w:val="0"/>
          <w:marTop w:val="120"/>
          <w:marBottom w:val="0"/>
          <w:divBdr>
            <w:top w:val="none" w:sz="0" w:space="0" w:color="auto"/>
            <w:left w:val="none" w:sz="0" w:space="0" w:color="auto"/>
            <w:bottom w:val="none" w:sz="0" w:space="0" w:color="auto"/>
            <w:right w:val="none" w:sz="0" w:space="0" w:color="auto"/>
          </w:divBdr>
        </w:div>
        <w:div w:id="98454677">
          <w:marLeft w:val="1267"/>
          <w:marRight w:val="0"/>
          <w:marTop w:val="120"/>
          <w:marBottom w:val="0"/>
          <w:divBdr>
            <w:top w:val="none" w:sz="0" w:space="0" w:color="auto"/>
            <w:left w:val="none" w:sz="0" w:space="0" w:color="auto"/>
            <w:bottom w:val="none" w:sz="0" w:space="0" w:color="auto"/>
            <w:right w:val="none" w:sz="0" w:space="0" w:color="auto"/>
          </w:divBdr>
        </w:div>
        <w:div w:id="625281965">
          <w:marLeft w:val="1267"/>
          <w:marRight w:val="0"/>
          <w:marTop w:val="120"/>
          <w:marBottom w:val="0"/>
          <w:divBdr>
            <w:top w:val="none" w:sz="0" w:space="0" w:color="auto"/>
            <w:left w:val="none" w:sz="0" w:space="0" w:color="auto"/>
            <w:bottom w:val="none" w:sz="0" w:space="0" w:color="auto"/>
            <w:right w:val="none" w:sz="0" w:space="0" w:color="auto"/>
          </w:divBdr>
        </w:div>
        <w:div w:id="589388708">
          <w:marLeft w:val="1267"/>
          <w:marRight w:val="0"/>
          <w:marTop w:val="120"/>
          <w:marBottom w:val="0"/>
          <w:divBdr>
            <w:top w:val="none" w:sz="0" w:space="0" w:color="auto"/>
            <w:left w:val="none" w:sz="0" w:space="0" w:color="auto"/>
            <w:bottom w:val="none" w:sz="0" w:space="0" w:color="auto"/>
            <w:right w:val="none" w:sz="0" w:space="0" w:color="auto"/>
          </w:divBdr>
        </w:div>
        <w:div w:id="731656985">
          <w:marLeft w:val="1267"/>
          <w:marRight w:val="0"/>
          <w:marTop w:val="120"/>
          <w:marBottom w:val="0"/>
          <w:divBdr>
            <w:top w:val="none" w:sz="0" w:space="0" w:color="auto"/>
            <w:left w:val="none" w:sz="0" w:space="0" w:color="auto"/>
            <w:bottom w:val="none" w:sz="0" w:space="0" w:color="auto"/>
            <w:right w:val="none" w:sz="0" w:space="0" w:color="auto"/>
          </w:divBdr>
        </w:div>
      </w:divsChild>
    </w:div>
    <w:div w:id="1490057781">
      <w:bodyDiv w:val="1"/>
      <w:marLeft w:val="0"/>
      <w:marRight w:val="0"/>
      <w:marTop w:val="0"/>
      <w:marBottom w:val="0"/>
      <w:divBdr>
        <w:top w:val="none" w:sz="0" w:space="0" w:color="auto"/>
        <w:left w:val="none" w:sz="0" w:space="0" w:color="auto"/>
        <w:bottom w:val="none" w:sz="0" w:space="0" w:color="auto"/>
        <w:right w:val="none" w:sz="0" w:space="0" w:color="auto"/>
      </w:divBdr>
      <w:divsChild>
        <w:div w:id="203518743">
          <w:marLeft w:val="547"/>
          <w:marRight w:val="0"/>
          <w:marTop w:val="154"/>
          <w:marBottom w:val="0"/>
          <w:divBdr>
            <w:top w:val="none" w:sz="0" w:space="0" w:color="auto"/>
            <w:left w:val="none" w:sz="0" w:space="0" w:color="auto"/>
            <w:bottom w:val="none" w:sz="0" w:space="0" w:color="auto"/>
            <w:right w:val="none" w:sz="0" w:space="0" w:color="auto"/>
          </w:divBdr>
        </w:div>
      </w:divsChild>
    </w:div>
    <w:div w:id="2015718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7624">
          <w:marLeft w:val="0"/>
          <w:marRight w:val="0"/>
          <w:marTop w:val="0"/>
          <w:marBottom w:val="0"/>
          <w:divBdr>
            <w:top w:val="none" w:sz="0" w:space="0" w:color="auto"/>
            <w:left w:val="none" w:sz="0" w:space="0" w:color="auto"/>
            <w:bottom w:val="none" w:sz="0" w:space="0" w:color="auto"/>
            <w:right w:val="none" w:sz="0" w:space="0" w:color="auto"/>
          </w:divBdr>
          <w:divsChild>
            <w:div w:id="1879656837">
              <w:marLeft w:val="0"/>
              <w:marRight w:val="0"/>
              <w:marTop w:val="0"/>
              <w:marBottom w:val="0"/>
              <w:divBdr>
                <w:top w:val="none" w:sz="0" w:space="0" w:color="auto"/>
                <w:left w:val="none" w:sz="0" w:space="0" w:color="auto"/>
                <w:bottom w:val="none" w:sz="0" w:space="0" w:color="auto"/>
                <w:right w:val="none" w:sz="0" w:space="0" w:color="auto"/>
              </w:divBdr>
              <w:divsChild>
                <w:div w:id="2043358487">
                  <w:marLeft w:val="0"/>
                  <w:marRight w:val="0"/>
                  <w:marTop w:val="0"/>
                  <w:marBottom w:val="0"/>
                  <w:divBdr>
                    <w:top w:val="none" w:sz="0" w:space="0" w:color="auto"/>
                    <w:left w:val="none" w:sz="0" w:space="0" w:color="auto"/>
                    <w:bottom w:val="none" w:sz="0" w:space="0" w:color="auto"/>
                    <w:right w:val="none" w:sz="0" w:space="0" w:color="auto"/>
                  </w:divBdr>
                  <w:divsChild>
                    <w:div w:id="1227835840">
                      <w:marLeft w:val="0"/>
                      <w:marRight w:val="0"/>
                      <w:marTop w:val="0"/>
                      <w:marBottom w:val="225"/>
                      <w:divBdr>
                        <w:top w:val="none" w:sz="0" w:space="0" w:color="auto"/>
                        <w:left w:val="none" w:sz="0" w:space="0" w:color="auto"/>
                        <w:bottom w:val="single" w:sz="18" w:space="0" w:color="FF6500"/>
                        <w:right w:val="none" w:sz="0" w:space="0" w:color="auto"/>
                      </w:divBdr>
                      <w:divsChild>
                        <w:div w:id="1008361958">
                          <w:marLeft w:val="0"/>
                          <w:marRight w:val="0"/>
                          <w:marTop w:val="0"/>
                          <w:marBottom w:val="0"/>
                          <w:divBdr>
                            <w:top w:val="none" w:sz="0" w:space="0" w:color="auto"/>
                            <w:left w:val="none" w:sz="0" w:space="0" w:color="auto"/>
                            <w:bottom w:val="none" w:sz="0" w:space="0" w:color="auto"/>
                            <w:right w:val="none" w:sz="0" w:space="0" w:color="auto"/>
                          </w:divBdr>
                          <w:divsChild>
                            <w:div w:id="1532567903">
                              <w:marLeft w:val="0"/>
                              <w:marRight w:val="0"/>
                              <w:marTop w:val="0"/>
                              <w:marBottom w:val="0"/>
                              <w:divBdr>
                                <w:top w:val="none" w:sz="0" w:space="0" w:color="auto"/>
                                <w:left w:val="none" w:sz="0" w:space="0" w:color="auto"/>
                                <w:bottom w:val="none" w:sz="0" w:space="0" w:color="auto"/>
                                <w:right w:val="none" w:sz="0" w:space="0" w:color="auto"/>
                              </w:divBdr>
                              <w:divsChild>
                                <w:div w:id="410393220">
                                  <w:marLeft w:val="0"/>
                                  <w:marRight w:val="0"/>
                                  <w:marTop w:val="0"/>
                                  <w:marBottom w:val="0"/>
                                  <w:divBdr>
                                    <w:top w:val="none" w:sz="0" w:space="0" w:color="auto"/>
                                    <w:left w:val="none" w:sz="0" w:space="0" w:color="auto"/>
                                    <w:bottom w:val="none" w:sz="0" w:space="0" w:color="auto"/>
                                    <w:right w:val="none" w:sz="0" w:space="0" w:color="auto"/>
                                  </w:divBdr>
                                  <w:divsChild>
                                    <w:div w:id="1944413085">
                                      <w:marLeft w:val="0"/>
                                      <w:marRight w:val="0"/>
                                      <w:marTop w:val="0"/>
                                      <w:marBottom w:val="0"/>
                                      <w:divBdr>
                                        <w:top w:val="none" w:sz="0" w:space="0" w:color="auto"/>
                                        <w:left w:val="none" w:sz="0" w:space="0" w:color="auto"/>
                                        <w:bottom w:val="none" w:sz="0" w:space="0" w:color="auto"/>
                                        <w:right w:val="none" w:sz="0" w:space="0" w:color="auto"/>
                                      </w:divBdr>
                                      <w:divsChild>
                                        <w:div w:id="1437359841">
                                          <w:marLeft w:val="0"/>
                                          <w:marRight w:val="0"/>
                                          <w:marTop w:val="0"/>
                                          <w:marBottom w:val="0"/>
                                          <w:divBdr>
                                            <w:top w:val="none" w:sz="0" w:space="0" w:color="auto"/>
                                            <w:left w:val="none" w:sz="0" w:space="0" w:color="auto"/>
                                            <w:bottom w:val="none" w:sz="0" w:space="0" w:color="auto"/>
                                            <w:right w:val="none" w:sz="0" w:space="0" w:color="auto"/>
                                          </w:divBdr>
                                          <w:divsChild>
                                            <w:div w:id="16865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12</cp:revision>
  <dcterms:created xsi:type="dcterms:W3CDTF">2015-04-10T13:21:00Z</dcterms:created>
  <dcterms:modified xsi:type="dcterms:W3CDTF">2015-04-13T18:31:00Z</dcterms:modified>
</cp:coreProperties>
</file>