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PRD MASTER + BUILD SPEC</w:t>
      </w:r>
    </w:p>
    <w:p>
      <w:pPr>
        <w:jc w:val="center"/>
      </w:pPr>
      <w:r>
        <w:rPr>
          <w:b/>
          <w:sz w:val="40"/>
        </w:rPr>
        <w:t>Assistant de réception atelier IA</w:t>
      </w:r>
    </w:p>
    <w:p>
      <w:pPr>
        <w:jc w:val="center"/>
      </w:pPr>
      <w:r>
        <w:rPr>
          <w:sz w:val="24"/>
        </w:rPr>
        <w:t>Garage-first • Martinique • Solopreneur • Go • SSR • Docker</w:t>
      </w:r>
    </w:p>
    <w:p>
      <w:pPr>
        <w:jc w:val="center"/>
      </w:pPr>
      <w:r>
        <w:rPr>
          <w:i/>
        </w:rPr>
        <w:t>Version 3 — 30 juillet 2026</w:t>
      </w:r>
    </w:p>
    <w:tbl>
      <w:tblPr>
        <w:tblStyle w:val="TableGrid"/>
        <w:tblW w:type="auto" w:w="0"/>
        <w:tblLook w:firstColumn="1" w:firstRow="1" w:lastColumn="0" w:lastRow="0" w:noHBand="0" w:noVBand="1" w:val="04A0"/>
      </w:tblPr>
      <w:tblGrid>
        <w:gridCol w:w="10166"/>
      </w:tblGrid>
      <w:tr>
        <w:tc>
          <w:tcPr>
            <w:tcW w:type="dxa" w:w="10166"/>
            <w:shd w:fill="F4F7FA"/>
          </w:tcPr>
          <w:p>
            <w:r>
              <w:rPr>
                <w:b/>
                <w:sz w:val="20"/>
              </w:rPr>
              <w:t>But du document</w:t>
              <w:br/>
            </w:r>
            <w:r>
              <w:t>Être la source de vérité commune pour le produit, le code, Codex, Opus et le fondateur. Une décision importante doit être comprise, testable et documentée. Le projet doit rester simple à maintenir par une seule personne.</w:t>
            </w:r>
          </w:p>
        </w:tc>
      </w:tr>
    </w:tbl>
    <w:p/>
    <w:p>
      <w:r>
        <w:br w:type="page"/>
      </w:r>
    </w:p>
    <w:p>
      <w:pPr>
        <w:pStyle w:val="Heading1"/>
      </w:pPr>
      <w:r>
        <w:t>1. Vision et objectif économique</w:t>
      </w:r>
    </w:p>
    <w:p>
      <w:r>
        <w:t>Construire un assistant de réception spécialisé pour garages indépendants et petits/moyens ateliers. Le produit doit automatiser une part importante du travail téléphonique et administratif de réception sans devenir un logiciel de gestion garage complet.</w:t>
      </w:r>
    </w:p>
    <w:tbl>
      <w:tblPr>
        <w:tblStyle w:val="TableGrid"/>
        <w:tblW w:type="auto" w:w="0"/>
        <w:tblLook w:firstColumn="1" w:firstRow="1" w:lastColumn="0" w:lastRow="0" w:noHBand="0" w:noVBand="1" w:val="04A0"/>
      </w:tblPr>
      <w:tblGrid>
        <w:gridCol w:w="10166"/>
      </w:tblGrid>
      <w:tr>
        <w:tc>
          <w:tcPr>
            <w:tcW w:type="dxa" w:w="10166"/>
            <w:shd w:fill="F4F7FA"/>
          </w:tcPr>
          <w:p>
            <w:r>
              <w:rPr>
                <w:b/>
                <w:sz w:val="20"/>
              </w:rPr>
              <w:t>Objectif fondateur</w:t>
              <w:br/>
            </w:r>
            <w:r>
              <w:t>Pouvoir vivre du produit avec environ 15 à 20 clients. Le produit doit donc être suffisamment précieux pour être vendu autour de 349 € HT/mois, avec une offre supérieure autour de 599 € HT/mois, tout en gardant des coûts variables contrôlés.</w:t>
            </w:r>
          </w:p>
        </w:tc>
      </w:tr>
    </w:tbl>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8EEF5"/>
          </w:tcPr>
          <w:p>
            <w:r>
              <w:rPr>
                <w:b/>
              </w:rPr>
              <w:t>Offre test</w:t>
            </w:r>
          </w:p>
        </w:tc>
        <w:tc>
          <w:tcPr>
            <w:tcW w:type="dxa" w:w="2541"/>
            <w:shd w:fill="E8EEF5"/>
          </w:tcPr>
          <w:p>
            <w:r>
              <w:rPr>
                <w:b/>
              </w:rPr>
              <w:t>Prix HT/mois</w:t>
            </w:r>
          </w:p>
        </w:tc>
        <w:tc>
          <w:tcPr>
            <w:tcW w:type="dxa" w:w="2541"/>
            <w:shd w:fill="E8EEF5"/>
          </w:tcPr>
          <w:p>
            <w:r>
              <w:rPr>
                <w:b/>
              </w:rPr>
              <w:t>Quota initial</w:t>
            </w:r>
          </w:p>
        </w:tc>
        <w:tc>
          <w:tcPr>
            <w:tcW w:type="dxa" w:w="2541"/>
            <w:shd w:fill="E8EEF5"/>
          </w:tcPr>
          <w:p>
            <w:r>
              <w:rPr>
                <w:b/>
              </w:rPr>
              <w:t>Cible</w:t>
            </w:r>
          </w:p>
        </w:tc>
      </w:tr>
      <w:tr>
        <w:tc>
          <w:tcPr>
            <w:tcW w:type="dxa" w:w="2541"/>
            <w:vAlign w:val="top"/>
          </w:tcPr>
          <w:p>
            <w:r>
              <w:rPr>
                <w:sz w:val="17"/>
              </w:rPr>
              <w:t>Atelier</w:t>
            </w:r>
          </w:p>
        </w:tc>
        <w:tc>
          <w:tcPr>
            <w:tcW w:type="dxa" w:w="2541"/>
            <w:vAlign w:val="top"/>
          </w:tcPr>
          <w:p>
            <w:r>
              <w:rPr>
                <w:sz w:val="17"/>
              </w:rPr>
              <w:t>349 €</w:t>
            </w:r>
          </w:p>
        </w:tc>
        <w:tc>
          <w:tcPr>
            <w:tcW w:type="dxa" w:w="2541"/>
            <w:vAlign w:val="top"/>
          </w:tcPr>
          <w:p>
            <w:r>
              <w:rPr>
                <w:sz w:val="17"/>
              </w:rPr>
              <w:t>750 min</w:t>
            </w:r>
          </w:p>
        </w:tc>
        <w:tc>
          <w:tcPr>
            <w:tcW w:type="dxa" w:w="2541"/>
            <w:vAlign w:val="top"/>
          </w:tcPr>
          <w:p>
            <w:r>
              <w:rPr>
                <w:sz w:val="17"/>
              </w:rPr>
              <w:t>Garage indépendant / petit atelier</w:t>
            </w:r>
          </w:p>
        </w:tc>
      </w:tr>
      <w:tr>
        <w:tc>
          <w:tcPr>
            <w:tcW w:type="dxa" w:w="2541"/>
            <w:vAlign w:val="top"/>
          </w:tcPr>
          <w:p>
            <w:r>
              <w:rPr>
                <w:sz w:val="17"/>
              </w:rPr>
              <w:t>Atelier Pro</w:t>
            </w:r>
          </w:p>
        </w:tc>
        <w:tc>
          <w:tcPr>
            <w:tcW w:type="dxa" w:w="2541"/>
            <w:vAlign w:val="top"/>
          </w:tcPr>
          <w:p>
            <w:r>
              <w:rPr>
                <w:sz w:val="17"/>
              </w:rPr>
              <w:t>599 €</w:t>
            </w:r>
          </w:p>
        </w:tc>
        <w:tc>
          <w:tcPr>
            <w:tcW w:type="dxa" w:w="2541"/>
            <w:vAlign w:val="top"/>
          </w:tcPr>
          <w:p>
            <w:r>
              <w:rPr>
                <w:sz w:val="17"/>
              </w:rPr>
              <w:t>1 750 min</w:t>
            </w:r>
          </w:p>
        </w:tc>
        <w:tc>
          <w:tcPr>
            <w:tcW w:type="dxa" w:w="2541"/>
            <w:vAlign w:val="top"/>
          </w:tcPr>
          <w:p>
            <w:r>
              <w:rPr>
                <w:sz w:val="17"/>
              </w:rPr>
              <w:t>Atelier plus actif, appels simultanés, intégration métier prioritaire</w:t>
            </w:r>
          </w:p>
        </w:tc>
      </w:tr>
    </w:tbl>
    <w:p/>
    <w:p>
      <w:r>
        <w:t>Ces prix sont des hypothèses à valider par des clients payants. Ils ne doivent pas être présentés comme validés avant les premiers pilotes.</w:t>
      </w:r>
    </w:p>
    <w:p>
      <w:pPr>
        <w:pStyle w:val="Heading1"/>
      </w:pPr>
      <w:r>
        <w:t>2. Positionnement : ce que nous vendons vraiment</w:t>
      </w:r>
    </w:p>
    <w:p>
      <w:r>
        <w:t>Ne pas vendre « une IA qui répond au téléphone ». La voix générique est déjà commoditisée par Fonio, ElevenLabs, Ringover et d’autres. La différenciation doit être le travail métier réalisé pendant et après l’appel.</w:t>
      </w:r>
    </w:p>
    <w:p>
      <w:pPr>
        <w:pStyle w:val="Code"/>
        <w:spacing w:after="160"/>
        <w:ind w:left="259"/>
      </w:pPr>
      <w:r>
        <w:t>Appel → client → véhicule → motif → disponibilité atelier → rendez-vous → suivi intervention → transfert / rappel → résumé</w:t>
      </w:r>
    </w:p>
    <w:p>
      <w:pPr>
        <w:pStyle w:val="ListBullet"/>
      </w:pPr>
      <w:r>
        <w:t>Reconnaître un client existant par son numéro lorsque possible.</w:t>
      </w:r>
    </w:p>
    <w:p>
      <w:pPr>
        <w:pStyle w:val="ListBullet"/>
      </w:pPr>
      <w:r>
        <w:t>Retrouver ou créer la fiche véhicule ; utiliser la plaque comme clé métier quand une source fiable est disponible.</w:t>
      </w:r>
    </w:p>
    <w:p>
      <w:pPr>
        <w:pStyle w:val="ListBullet"/>
      </w:pPr>
      <w:r>
        <w:t>Qualifier la demande sans prétendre diagnostiquer mécaniquement le véhicule.</w:t>
      </w:r>
    </w:p>
    <w:p>
      <w:pPr>
        <w:pStyle w:val="ListBullet"/>
      </w:pPr>
      <w:r>
        <w:t>Prendre, déplacer ou annuler un rendez-vous atelier.</w:t>
      </w:r>
    </w:p>
    <w:p>
      <w:pPr>
        <w:pStyle w:val="ListBullet"/>
      </w:pPr>
      <w:r>
        <w:t>Répondre aux horaires, adresse, services et tarifs explicitement validés.</w:t>
      </w:r>
    </w:p>
    <w:p>
      <w:pPr>
        <w:pStyle w:val="ListBullet"/>
      </w:pPr>
      <w:r>
        <w:t>Donner un statut d’intervention uniquement depuis une donnée enregistrée.</w:t>
      </w:r>
    </w:p>
    <w:p>
      <w:pPr>
        <w:pStyle w:val="ListBullet"/>
      </w:pPr>
      <w:r>
        <w:t>Créer une demande de rappel/devis lorsque l’agent ne doit pas conclure seul.</w:t>
      </w:r>
    </w:p>
    <w:p>
      <w:pPr>
        <w:pStyle w:val="ListBullet"/>
      </w:pPr>
      <w:r>
        <w:t>Transférer vers un humain avec le contexte utile.</w:t>
      </w:r>
    </w:p>
    <w:p>
      <w:pPr>
        <w:pStyle w:val="ListBullet"/>
      </w:pPr>
      <w:r>
        <w:t>Produire transcript, résumé, résultat et actions exécutées.</w:t>
      </w:r>
    </w:p>
    <w:p>
      <w:pPr>
        <w:pStyle w:val="Heading1"/>
      </w:pPr>
      <w:r>
        <w:t>3. ICP initial et validation commerciale</w:t>
      </w:r>
    </w:p>
    <w:p>
      <w:r>
        <w:t>Cible commerciale initiale : garages indépendants/petits-moyens ateliers en Martinique, assez actifs pour souffrir du téléphone, mais assez petits pour que le dirigeant ou responsable atelier puisse décider rapidement.</w:t>
      </w:r>
    </w:p>
    <w:p>
      <w:pPr>
        <w:pStyle w:val="ListBullet"/>
      </w:pPr>
      <w:r>
        <w:t>Éviter en P1 les grandes concessions et grands groupes qui disposent déjà de standards, équipes et cycles d’achat longs.</w:t>
      </w:r>
    </w:p>
    <w:p>
      <w:pPr>
        <w:pStyle w:val="ListBullet"/>
      </w:pPr>
      <w:r>
        <w:t>P1 : indépendants / ateliers de taille petite à moyenne présumée.</w:t>
      </w:r>
    </w:p>
    <w:p>
      <w:pPr>
        <w:pStyle w:val="ListBullet"/>
      </w:pPr>
      <w:r>
        <w:t>P2 : réseaux locaux / garages plus structurés après 2–3 références.</w:t>
      </w:r>
    </w:p>
    <w:p>
      <w:pPr>
        <w:pStyle w:val="ListBullet"/>
      </w:pPr>
      <w:r>
        <w:t>P3 : concessions et groupes plus tard.</w:t>
      </w:r>
    </w:p>
    <w:tbl>
      <w:tblPr>
        <w:tblStyle w:val="TableGrid"/>
        <w:tblW w:type="auto" w:w="0"/>
        <w:tblLook w:firstColumn="1" w:firstRow="1" w:lastColumn="0" w:lastRow="0" w:noHBand="0" w:noVBand="1" w:val="04A0"/>
      </w:tblPr>
      <w:tblGrid>
        <w:gridCol w:w="10166"/>
      </w:tblGrid>
      <w:tr>
        <w:tc>
          <w:tcPr>
            <w:tcW w:type="dxa" w:w="10166"/>
            <w:shd w:fill="F4F7FA"/>
          </w:tcPr>
          <w:p>
            <w:r>
              <w:rPr>
                <w:b/>
                <w:sz w:val="20"/>
              </w:rPr>
              <w:t>Critère réel de validation</w:t>
              <w:br/>
            </w:r>
            <w:r>
              <w:t>La démo ne valide rien. La validation = un garage accepte un pilote puis paie. Premier funnel cible : 30 prospects → 10 conversations → 5 démos → 3 pilotes → au moins 2 clients payants.</w:t>
            </w:r>
          </w:p>
        </w:tc>
      </w:tr>
    </w:tbl>
    <w:p/>
    <w:p>
      <w:pPr>
        <w:pStyle w:val="Heading1"/>
      </w:pPr>
      <w:r>
        <w:t>4. Références concurrentes et produit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EEF5"/>
          </w:tcPr>
          <w:p>
            <w:r>
              <w:rPr>
                <w:b/>
              </w:rPr>
              <w:t>Référence</w:t>
            </w:r>
          </w:p>
        </w:tc>
        <w:tc>
          <w:tcPr>
            <w:tcW w:type="dxa" w:w="3389"/>
            <w:shd w:fill="E8EEF5"/>
          </w:tcPr>
          <w:p>
            <w:r>
              <w:rPr>
                <w:b/>
              </w:rPr>
              <w:t>Ce qu’elle prouve</w:t>
            </w:r>
          </w:p>
        </w:tc>
        <w:tc>
          <w:tcPr>
            <w:tcW w:type="dxa" w:w="3389"/>
            <w:shd w:fill="E8EEF5"/>
          </w:tcPr>
          <w:p>
            <w:r>
              <w:rPr>
                <w:b/>
              </w:rPr>
              <w:t>Conséquence</w:t>
            </w:r>
          </w:p>
        </w:tc>
      </w:tr>
      <w:tr>
        <w:tc>
          <w:tcPr>
            <w:tcW w:type="dxa" w:w="3389"/>
            <w:vAlign w:val="top"/>
          </w:tcPr>
          <w:p>
            <w:r>
              <w:rPr>
                <w:sz w:val="17"/>
              </w:rPr>
              <w:t>Fonio</w:t>
            </w:r>
          </w:p>
        </w:tc>
        <w:tc>
          <w:tcPr>
            <w:tcW w:type="dxa" w:w="3389"/>
            <w:vAlign w:val="top"/>
          </w:tcPr>
          <w:p>
            <w:r>
              <w:rPr>
                <w:sz w:val="17"/>
              </w:rPr>
              <w:t>Agent vocal générique très agressif en prix/minutes</w:t>
            </w:r>
          </w:p>
        </w:tc>
        <w:tc>
          <w:tcPr>
            <w:tcW w:type="dxa" w:w="3389"/>
            <w:vAlign w:val="top"/>
          </w:tcPr>
          <w:p>
            <w:r>
              <w:rPr>
                <w:sz w:val="17"/>
              </w:rPr>
              <w:t>Ne jamais concurrencer uniquement sur les minutes.</w:t>
            </w:r>
          </w:p>
        </w:tc>
      </w:tr>
      <w:tr>
        <w:tc>
          <w:tcPr>
            <w:tcW w:type="dxa" w:w="3389"/>
            <w:vAlign w:val="top"/>
          </w:tcPr>
          <w:p>
            <w:r>
              <w:rPr>
                <w:sz w:val="17"/>
              </w:rPr>
              <w:t>ElevenLabs Reception.ai</w:t>
            </w:r>
          </w:p>
        </w:tc>
        <w:tc>
          <w:tcPr>
            <w:tcW w:type="dxa" w:w="3389"/>
            <w:vAlign w:val="top"/>
          </w:tcPr>
          <w:p>
            <w:r>
              <w:rPr>
                <w:sz w:val="17"/>
              </w:rPr>
              <w:t>Voix + agenda + intégrations déjà packagés</w:t>
            </w:r>
          </w:p>
        </w:tc>
        <w:tc>
          <w:tcPr>
            <w:tcW w:type="dxa" w:w="3389"/>
            <w:vAlign w:val="top"/>
          </w:tcPr>
          <w:p>
            <w:r>
              <w:rPr>
                <w:sz w:val="17"/>
              </w:rPr>
              <w:t>Louer la couche voix pour ship vite.</w:t>
            </w:r>
          </w:p>
        </w:tc>
      </w:tr>
      <w:tr>
        <w:tc>
          <w:tcPr>
            <w:tcW w:type="dxa" w:w="3389"/>
            <w:vAlign w:val="top"/>
          </w:tcPr>
          <w:p>
            <w:r>
              <w:rPr>
                <w:sz w:val="17"/>
              </w:rPr>
              <w:t>STELLA Automotive</w:t>
            </w:r>
          </w:p>
        </w:tc>
        <w:tc>
          <w:tcPr>
            <w:tcW w:type="dxa" w:w="3389"/>
            <w:vAlign w:val="top"/>
          </w:tcPr>
          <w:p>
            <w:r>
              <w:rPr>
                <w:sz w:val="17"/>
              </w:rPr>
              <w:t>Réception IA verticale automobile avec scheduling/DMS</w:t>
            </w:r>
          </w:p>
        </w:tc>
        <w:tc>
          <w:tcPr>
            <w:tcW w:type="dxa" w:w="3389"/>
            <w:vAlign w:val="top"/>
          </w:tcPr>
          <w:p>
            <w:r>
              <w:rPr>
                <w:sz w:val="17"/>
              </w:rPr>
              <w:t>La verticalisation automobile est un marché réel.</w:t>
            </w:r>
          </w:p>
        </w:tc>
      </w:tr>
      <w:tr>
        <w:tc>
          <w:tcPr>
            <w:tcW w:type="dxa" w:w="3389"/>
            <w:vAlign w:val="top"/>
          </w:tcPr>
          <w:p>
            <w:r>
              <w:rPr>
                <w:sz w:val="17"/>
              </w:rPr>
              <w:t>Vroomly</w:t>
            </w:r>
          </w:p>
        </w:tc>
        <w:tc>
          <w:tcPr>
            <w:tcW w:type="dxa" w:w="3389"/>
            <w:vAlign w:val="top"/>
          </w:tcPr>
          <w:p>
            <w:r>
              <w:rPr>
                <w:sz w:val="17"/>
              </w:rPr>
              <w:t>Clients/véhicules, planning, OR, atelier en France</w:t>
            </w:r>
          </w:p>
        </w:tc>
        <w:tc>
          <w:tcPr>
            <w:tcW w:type="dxa" w:w="3389"/>
            <w:vAlign w:val="top"/>
          </w:tcPr>
          <w:p>
            <w:r>
              <w:rPr>
                <w:sz w:val="17"/>
              </w:rPr>
              <w:t>Utiliser le bon vocabulaire métier, ne pas reconstruire tout Vroomly.</w:t>
            </w:r>
          </w:p>
        </w:tc>
      </w:tr>
      <w:tr>
        <w:tc>
          <w:tcPr>
            <w:tcW w:type="dxa" w:w="3389"/>
            <w:vAlign w:val="top"/>
          </w:tcPr>
          <w:p>
            <w:r>
              <w:rPr>
                <w:sz w:val="17"/>
              </w:rPr>
              <w:t>Tekmetric / Shopmonkey</w:t>
            </w:r>
          </w:p>
        </w:tc>
        <w:tc>
          <w:tcPr>
            <w:tcW w:type="dxa" w:w="3389"/>
            <w:vAlign w:val="top"/>
          </w:tcPr>
          <w:p>
            <w:r>
              <w:rPr>
                <w:sz w:val="17"/>
              </w:rPr>
              <w:t>UX atelier moderne, communication et opérations</w:t>
            </w:r>
          </w:p>
        </w:tc>
        <w:tc>
          <w:tcPr>
            <w:tcW w:type="dxa" w:w="3389"/>
            <w:vAlign w:val="top"/>
          </w:tcPr>
          <w:p>
            <w:r>
              <w:rPr>
                <w:sz w:val="17"/>
              </w:rPr>
              <w:t>Références pour dashboard et workflow.</w:t>
            </w:r>
          </w:p>
        </w:tc>
      </w:tr>
    </w:tbl>
    <w:p/>
    <w:p>
      <w:pPr>
        <w:pStyle w:val="Heading1"/>
      </w:pPr>
      <w:r>
        <w:t>5. Unit economics et règles de survie</w:t>
      </w:r>
    </w:p>
    <w:p>
      <w:r>
        <w:t>Le fondateur est en micro-entreprise : les coûts API ne sont pas une excuse pour vendre à perte. Tant que les factures réelles ne démontrent pas mieux, le produit doit budgéter 0,10 €/minute de voix/IA tout compris comme enveloppe prudente.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8EEF5"/>
          </w:tcPr>
          <w:p>
            <w:r>
              <w:rPr>
                <w:b/>
              </w:rPr>
              <w:t>Plan</w:t>
            </w:r>
          </w:p>
        </w:tc>
        <w:tc>
          <w:tcPr>
            <w:tcW w:type="dxa" w:w="2541"/>
            <w:shd w:fill="E8EEF5"/>
          </w:tcPr>
          <w:p>
            <w:r>
              <w:rPr>
                <w:b/>
              </w:rPr>
              <w:t>CA</w:t>
            </w:r>
          </w:p>
        </w:tc>
        <w:tc>
          <w:tcPr>
            <w:tcW w:type="dxa" w:w="2541"/>
            <w:shd w:fill="E8EEF5"/>
          </w:tcPr>
          <w:p>
            <w:r>
              <w:rPr>
                <w:b/>
              </w:rPr>
              <w:t>Budget voix/IA au quota</w:t>
            </w:r>
          </w:p>
        </w:tc>
        <w:tc>
          <w:tcPr>
            <w:tcW w:type="dxa" w:w="2541"/>
            <w:shd w:fill="E8EEF5"/>
          </w:tcPr>
          <w:p>
            <w:r>
              <w:rPr>
                <w:b/>
              </w:rPr>
              <w:t>Lecture</w:t>
            </w:r>
          </w:p>
        </w:tc>
      </w:tr>
      <w:tr>
        <w:tc>
          <w:tcPr>
            <w:tcW w:type="dxa" w:w="2541"/>
            <w:vAlign w:val="top"/>
          </w:tcPr>
          <w:p>
            <w:r>
              <w:rPr>
                <w:sz w:val="17"/>
              </w:rPr>
              <w:t>Atelier</w:t>
            </w:r>
          </w:p>
        </w:tc>
        <w:tc>
          <w:tcPr>
            <w:tcW w:type="dxa" w:w="2541"/>
            <w:vAlign w:val="top"/>
          </w:tcPr>
          <w:p>
            <w:r>
              <w:rPr>
                <w:sz w:val="17"/>
              </w:rPr>
              <w:t>349 €</w:t>
            </w:r>
          </w:p>
        </w:tc>
        <w:tc>
          <w:tcPr>
            <w:tcW w:type="dxa" w:w="2541"/>
            <w:vAlign w:val="top"/>
          </w:tcPr>
          <w:p>
            <w:r>
              <w:rPr>
                <w:sz w:val="17"/>
              </w:rPr>
              <w:t>75 €</w:t>
            </w:r>
          </w:p>
        </w:tc>
        <w:tc>
          <w:tcPr>
            <w:tcW w:type="dxa" w:w="2541"/>
            <w:vAlign w:val="top"/>
          </w:tcPr>
          <w:p>
            <w:r>
              <w:rPr>
                <w:sz w:val="17"/>
              </w:rPr>
              <w:t>Marge de sécurité suffisante pour tester.</w:t>
            </w:r>
          </w:p>
        </w:tc>
      </w:tr>
      <w:tr>
        <w:tc>
          <w:tcPr>
            <w:tcW w:type="dxa" w:w="2541"/>
            <w:vAlign w:val="top"/>
          </w:tcPr>
          <w:p>
            <w:r>
              <w:rPr>
                <w:sz w:val="17"/>
              </w:rPr>
              <w:t>Atelier Pro</w:t>
            </w:r>
          </w:p>
        </w:tc>
        <w:tc>
          <w:tcPr>
            <w:tcW w:type="dxa" w:w="2541"/>
            <w:vAlign w:val="top"/>
          </w:tcPr>
          <w:p>
            <w:r>
              <w:rPr>
                <w:sz w:val="17"/>
              </w:rPr>
              <w:t>599 €</w:t>
            </w:r>
          </w:p>
        </w:tc>
        <w:tc>
          <w:tcPr>
            <w:tcW w:type="dxa" w:w="2541"/>
            <w:vAlign w:val="top"/>
          </w:tcPr>
          <w:p>
            <w:r>
              <w:rPr>
                <w:sz w:val="17"/>
              </w:rPr>
              <w:t>175 €</w:t>
            </w:r>
          </w:p>
        </w:tc>
        <w:tc>
          <w:tcPr>
            <w:tcW w:type="dxa" w:w="2541"/>
            <w:vAlign w:val="top"/>
          </w:tcPr>
          <w:p>
            <w:r>
              <w:rPr>
                <w:sz w:val="17"/>
              </w:rPr>
              <w:t>Reste viable si le quota est réellement valorisé.</w:t>
            </w:r>
          </w:p>
        </w:tc>
      </w:tr>
    </w:tbl>
    <w:p/>
    <w:p>
      <w:pPr>
        <w:pStyle w:val="ListBullet"/>
      </w:pPr>
      <w:r>
        <w:t>Aucun illimité.</w:t>
      </w:r>
    </w:p>
    <w:p>
      <w:pPr>
        <w:pStyle w:val="ListBullet"/>
      </w:pPr>
      <w:r>
        <w:t>Metering P0 par tenant et conversation.</w:t>
      </w:r>
    </w:p>
    <w:p>
      <w:pPr>
        <w:pStyle w:val="ListBullet"/>
      </w:pPr>
      <w:r>
        <w:t>Alertes de consommation à 70 %, 85 % et 100 %.</w:t>
      </w:r>
    </w:p>
    <w:p>
      <w:pPr>
        <w:pStyle w:val="ListBullet"/>
      </w:pPr>
      <w:r>
        <w:t>Mesurer coût/appel, coût/rendez-vous, coût/résolution et marge de contribution par client.</w:t>
      </w:r>
    </w:p>
    <w:p>
      <w:pPr>
        <w:pStyle w:val="ListBullet"/>
      </w:pPr>
      <w:r>
        <w:t>Le dépassement est facturé ou entraîne une montée de plan.</w:t>
      </w:r>
    </w:p>
    <w:p>
      <w:pPr>
        <w:pStyle w:val="ListBullet"/>
      </w:pPr>
      <w:r>
        <w:t>Ne pas scaler la publicité avant d’avoir mesuré le coût réel de plusieurs clients payants.</w:t>
      </w:r>
    </w:p>
    <w:p>
      <w:pPr>
        <w:pStyle w:val="Heading1"/>
      </w:pPr>
      <w:r>
        <w:t>6. MVP vendable : périmètre de la première semaine</w:t>
      </w:r>
    </w:p>
    <w:tbl>
      <w:tblPr>
        <w:tblStyle w:val="TableGrid"/>
        <w:tblW w:type="auto" w:w="0"/>
        <w:jc w:val="center"/>
        <w:tblLook w:firstColumn="1" w:firstRow="1" w:lastColumn="0" w:lastRow="0" w:noHBand="0" w:noVBand="1" w:val="04A0"/>
      </w:tblPr>
      <w:tblGrid>
        <w:gridCol w:w="5083"/>
        <w:gridCol w:w="5083"/>
      </w:tblGrid>
      <w:tr>
        <w:tc>
          <w:tcPr>
            <w:tcW w:type="dxa" w:w="5083"/>
            <w:shd w:fill="E8EEF5"/>
          </w:tcPr>
          <w:p>
            <w:r>
              <w:rPr>
                <w:b/>
              </w:rPr>
              <w:t>P0 cette semaine</w:t>
            </w:r>
          </w:p>
        </w:tc>
        <w:tc>
          <w:tcPr>
            <w:tcW w:type="dxa" w:w="5083"/>
            <w:shd w:fill="E8EEF5"/>
          </w:tcPr>
          <w:p>
            <w:r>
              <w:rPr>
                <w:b/>
              </w:rPr>
              <w:t>Pas cette semaine</w:t>
            </w:r>
          </w:p>
        </w:tc>
      </w:tr>
      <w:tr>
        <w:tc>
          <w:tcPr>
            <w:tcW w:type="dxa" w:w="5083"/>
            <w:vAlign w:val="top"/>
          </w:tcPr>
          <w:p>
            <w:r>
              <w:rPr>
                <w:sz w:val="17"/>
              </w:rPr>
              <w:t>Appel réel + agent vocal</w:t>
            </w:r>
          </w:p>
        </w:tc>
        <w:tc>
          <w:tcPr>
            <w:tcW w:type="dxa" w:w="5083"/>
            <w:vAlign w:val="top"/>
          </w:tcPr>
          <w:p>
            <w:r>
              <w:rPr>
                <w:sz w:val="17"/>
              </w:rPr>
              <w:t>ERP complet</w:t>
            </w:r>
          </w:p>
        </w:tc>
      </w:tr>
      <w:tr>
        <w:tc>
          <w:tcPr>
            <w:tcW w:type="dxa" w:w="5083"/>
            <w:vAlign w:val="top"/>
          </w:tcPr>
          <w:p>
            <w:r>
              <w:rPr>
                <w:sz w:val="17"/>
              </w:rPr>
              <w:t>Client / véhicule</w:t>
            </w:r>
          </w:p>
        </w:tc>
        <w:tc>
          <w:tcPr>
            <w:tcW w:type="dxa" w:w="5083"/>
            <w:vAlign w:val="top"/>
          </w:tcPr>
          <w:p>
            <w:r>
              <w:rPr>
                <w:sz w:val="17"/>
              </w:rPr>
              <w:t>Facturation garage</w:t>
            </w:r>
          </w:p>
        </w:tc>
      </w:tr>
      <w:tr>
        <w:tc>
          <w:tcPr>
            <w:tcW w:type="dxa" w:w="5083"/>
            <w:vAlign w:val="top"/>
          </w:tcPr>
          <w:p>
            <w:r>
              <w:rPr>
                <w:sz w:val="17"/>
              </w:rPr>
              <w:t>Qualification structurée</w:t>
            </w:r>
          </w:p>
        </w:tc>
        <w:tc>
          <w:tcPr>
            <w:tcW w:type="dxa" w:w="5083"/>
            <w:vAlign w:val="top"/>
          </w:tcPr>
          <w:p>
            <w:r>
              <w:rPr>
                <w:sz w:val="17"/>
              </w:rPr>
              <w:t>Stock universel de pièces</w:t>
            </w:r>
          </w:p>
        </w:tc>
      </w:tr>
      <w:tr>
        <w:tc>
          <w:tcPr>
            <w:tcW w:type="dxa" w:w="5083"/>
            <w:vAlign w:val="top"/>
          </w:tcPr>
          <w:p>
            <w:r>
              <w:rPr>
                <w:sz w:val="17"/>
              </w:rPr>
              <w:t>Mini-planning atelier</w:t>
            </w:r>
          </w:p>
        </w:tc>
        <w:tc>
          <w:tcPr>
            <w:tcW w:type="dxa" w:w="5083"/>
            <w:vAlign w:val="top"/>
          </w:tcPr>
          <w:p>
            <w:r>
              <w:rPr>
                <w:sz w:val="17"/>
              </w:rPr>
              <w:t>Diagnostic mécanique IA</w:t>
            </w:r>
          </w:p>
        </w:tc>
      </w:tr>
      <w:tr>
        <w:tc>
          <w:tcPr>
            <w:tcW w:type="dxa" w:w="5083"/>
            <w:vAlign w:val="top"/>
          </w:tcPr>
          <w:p>
            <w:r>
              <w:rPr>
                <w:sz w:val="17"/>
              </w:rPr>
              <w:t>RDV créer/déplacer/annuler</w:t>
            </w:r>
          </w:p>
        </w:tc>
        <w:tc>
          <w:tcPr>
            <w:tcW w:type="dxa" w:w="5083"/>
            <w:vAlign w:val="top"/>
          </w:tcPr>
          <w:p>
            <w:r>
              <w:rPr>
                <w:sz w:val="17"/>
              </w:rPr>
              <w:t>Workflow builder générique</w:t>
            </w:r>
          </w:p>
        </w:tc>
      </w:tr>
      <w:tr>
        <w:tc>
          <w:tcPr>
            <w:tcW w:type="dxa" w:w="5083"/>
            <w:vAlign w:val="top"/>
          </w:tcPr>
          <w:p>
            <w:r>
              <w:rPr>
                <w:sz w:val="17"/>
              </w:rPr>
              <w:t>Statut intervention simple</w:t>
            </w:r>
          </w:p>
        </w:tc>
        <w:tc>
          <w:tcPr>
            <w:tcW w:type="dxa" w:w="5083"/>
            <w:vAlign w:val="top"/>
          </w:tcPr>
          <w:p>
            <w:r>
              <w:rPr>
                <w:sz w:val="17"/>
              </w:rPr>
              <w:t>Multi-sites complexe</w:t>
            </w:r>
          </w:p>
        </w:tc>
      </w:tr>
      <w:tr>
        <w:tc>
          <w:tcPr>
            <w:tcW w:type="dxa" w:w="5083"/>
            <w:vAlign w:val="top"/>
          </w:tcPr>
          <w:p>
            <w:r>
              <w:rPr>
                <w:sz w:val="17"/>
              </w:rPr>
              <w:t>Demande rappel/devis</w:t>
            </w:r>
          </w:p>
        </w:tc>
        <w:tc>
          <w:tcPr>
            <w:tcW w:type="dxa" w:w="5083"/>
            <w:vAlign w:val="top"/>
          </w:tcPr>
          <w:p>
            <w:r>
              <w:rPr>
                <w:sz w:val="17"/>
              </w:rPr>
              <w:t>CRM universel</w:t>
            </w:r>
          </w:p>
        </w:tc>
      </w:tr>
      <w:tr>
        <w:tc>
          <w:tcPr>
            <w:tcW w:type="dxa" w:w="5083"/>
            <w:vAlign w:val="top"/>
          </w:tcPr>
          <w:p>
            <w:r>
              <w:rPr>
                <w:sz w:val="17"/>
              </w:rPr>
              <w:t>Transfert humain</w:t>
            </w:r>
          </w:p>
        </w:tc>
        <w:tc>
          <w:tcPr>
            <w:tcW w:type="dxa" w:w="5083"/>
            <w:vAlign w:val="top"/>
          </w:tcPr>
          <w:p>
            <w:r>
              <w:rPr>
                <w:sz w:val="17"/>
              </w:rPr>
              <w:t>Microservices / queues distribuées</w:t>
            </w:r>
          </w:p>
        </w:tc>
      </w:tr>
      <w:tr>
        <w:tc>
          <w:tcPr>
            <w:tcW w:type="dxa" w:w="5083"/>
            <w:vAlign w:val="top"/>
          </w:tcPr>
          <w:p>
            <w:r>
              <w:rPr>
                <w:sz w:val="17"/>
              </w:rPr>
              <w:t>Historique + résumé</w:t>
            </w:r>
          </w:p>
        </w:tc>
        <w:tc>
          <w:tcPr>
            <w:tcW w:type="dxa" w:w="5083"/>
            <w:vAlign w:val="top"/>
          </w:tcPr>
          <w:p>
            <w:r>
              <w:rPr>
                <w:sz w:val="17"/>
              </w:rPr>
              <w:t>Réécriture d’un logiciel garage</w:t>
            </w:r>
          </w:p>
        </w:tc>
      </w:tr>
      <w:tr>
        <w:tc>
          <w:tcPr>
            <w:tcW w:type="dxa" w:w="5083"/>
            <w:vAlign w:val="top"/>
          </w:tcPr>
          <w:p>
            <w:r>
              <w:rPr>
                <w:sz w:val="17"/>
              </w:rPr>
              <w:t>Dashboard jour</w:t>
            </w:r>
          </w:p>
        </w:tc>
        <w:tc>
          <w:tcPr>
            <w:tcW w:type="dxa" w:w="5083"/>
            <w:vAlign w:val="top"/>
          </w:tcPr>
          <w:p>
            <w:r>
              <w:rPr>
                <w:sz w:val="17"/>
              </w:rPr>
              <w:t>Optimisations prématurées</w:t>
            </w:r>
          </w:p>
        </w:tc>
      </w:tr>
    </w:tbl>
    <w:p/>
    <w:p>
      <w:pPr>
        <w:pStyle w:val="Heading1"/>
      </w:pPr>
      <w:r>
        <w:t>7. Modèle métier minimal</w:t>
      </w:r>
    </w:p>
    <w:p>
      <w:pPr>
        <w:pStyle w:val="Code"/>
        <w:spacing w:after="160"/>
        <w:ind w:left="259"/>
      </w:pPr>
      <w:r>
        <w:t>Tenant</w:t>
        <w:br/>
        <w:t xml:space="preserve"> ├─ Location</w:t>
        <w:br/>
        <w:t xml:space="preserve"> ├─ Staff</w:t>
        <w:br/>
        <w:t xml:space="preserve"> ├─ Service</w:t>
        <w:br/>
        <w:t xml:space="preserve"> ├─ Customer</w:t>
        <w:br/>
        <w:t xml:space="preserve"> │   └─ Vehicle</w:t>
        <w:br/>
        <w:t xml:space="preserve"> ├─ Appointment</w:t>
        <w:br/>
        <w:t xml:space="preserve"> ├─ Intervention</w:t>
        <w:br/>
        <w:t xml:space="preserve"> ├─ Conversation</w:t>
        <w:br/>
        <w:t xml:space="preserve"> │   └─ ToolExecution</w:t>
        <w:br/>
        <w:t xml:space="preserve"> └─ UsageEvent</w:t>
      </w:r>
    </w:p>
    <w:p>
      <w:pPr>
        <w:pStyle w:val="Heading2"/>
      </w:pPr>
      <w:r>
        <w:t>7.1 Invariants</w:t>
      </w:r>
    </w:p>
    <w:p>
      <w:pPr>
        <w:pStyle w:val="ListBullet"/>
      </w:pPr>
      <w:r>
        <w:t>tenant_id provient toujours du contexte serveur/routage, jamais d’un argument LLM libre.</w:t>
      </w:r>
    </w:p>
    <w:p>
      <w:pPr>
        <w:pStyle w:val="ListBullet"/>
      </w:pPr>
      <w:r>
        <w:t>Une action d’écriture sensible doit être idempotente.</w:t>
      </w:r>
    </w:p>
    <w:p>
      <w:pPr>
        <w:pStyle w:val="ListBullet"/>
      </w:pPr>
      <w:r>
        <w:t>Un rendez-vous n’est annoncé comme confirmé qu’après succès du backend/provider.</w:t>
      </w:r>
    </w:p>
    <w:p>
      <w:pPr>
        <w:pStyle w:val="ListBullet"/>
      </w:pPr>
      <w:r>
        <w:t>Un statut, prix ou stock n’est jamais inventé : il vient d’une donnée validée.</w:t>
      </w:r>
    </w:p>
    <w:p>
      <w:pPr>
        <w:pStyle w:val="ListBullet"/>
      </w:pPr>
      <w:r>
        <w:t>Les données d’un tenant ne doivent jamais être accessibles depuis un autre tenant.</w:t>
      </w:r>
    </w:p>
    <w:p>
      <w:pPr>
        <w:pStyle w:val="Heading1"/>
      </w:pPr>
      <w:r>
        <w:t>8. Onboarding avec le moins de saisie possible</w:t>
      </w:r>
    </w:p>
    <w:p>
      <w:pPr>
        <w:ind w:left="259" w:hanging="259"/>
      </w:pPr>
      <w:r>
        <w:rPr>
          <w:b/>
        </w:rPr>
        <w:t xml:space="preserve">1.  </w:t>
      </w:r>
      <w:r>
        <w:t>Le garage recherche son établissement ou colle un lien Google Maps.</w:t>
      </w:r>
    </w:p>
    <w:p>
      <w:pPr>
        <w:ind w:left="259" w:hanging="259"/>
      </w:pPr>
      <w:r>
        <w:rPr>
          <w:b/>
        </w:rPr>
        <w:t xml:space="preserve">2.  </w:t>
      </w:r>
      <w:r>
        <w:t>Le backend récupère uniquement les champs Places nécessaires via FieldMask : identité, adresse, téléphone, horaires, site selon le besoin.</w:t>
      </w:r>
    </w:p>
    <w:p>
      <w:pPr>
        <w:ind w:left="259" w:hanging="259"/>
      </w:pPr>
      <w:r>
        <w:rPr>
          <w:b/>
        </w:rPr>
        <w:t xml:space="preserve">3.  </w:t>
      </w:r>
      <w:r>
        <w:t>Compléter l’identité légale avec une source française appropriée (Sirene/API Entreprise) lorsque nécessaire.</w:t>
      </w:r>
    </w:p>
    <w:p>
      <w:pPr>
        <w:ind w:left="259" w:hanging="259"/>
      </w:pPr>
      <w:r>
        <w:rPr>
          <w:b/>
        </w:rPr>
        <w:t xml:space="preserve">4.  </w:t>
      </w:r>
      <w:r>
        <w:t>Analyser le site public du garage à la demande pour proposer services, horaires et FAQ.</w:t>
      </w:r>
    </w:p>
    <w:p>
      <w:pPr>
        <w:ind w:left="259" w:hanging="259"/>
      </w:pPr>
      <w:r>
        <w:rPr>
          <w:b/>
        </w:rPr>
        <w:t xml:space="preserve">5.  </w:t>
      </w:r>
      <w:r>
        <w:t>Afficher une page de validation : aucune donnée récupérée automatiquement ne devient vérité métier sans validation du garage.</w:t>
      </w:r>
    </w:p>
    <w:p>
      <w:pPr>
        <w:ind w:left="259" w:hanging="259"/>
      </w:pPr>
      <w:r>
        <w:rPr>
          <w:b/>
        </w:rPr>
        <w:t xml:space="preserve">6.  </w:t>
      </w:r>
      <w:r>
        <w:t>Créer l’agent, le planning et le numéro/configuration téléphonique.</w:t>
      </w:r>
    </w:p>
    <w:tbl>
      <w:tblPr>
        <w:tblStyle w:val="TableGrid"/>
        <w:tblW w:type="auto" w:w="0"/>
        <w:tblLook w:firstColumn="1" w:firstRow="1" w:lastColumn="0" w:lastRow="0" w:noHBand="0" w:noVBand="1" w:val="04A0"/>
      </w:tblPr>
      <w:tblGrid>
        <w:gridCol w:w="10166"/>
      </w:tblGrid>
      <w:tr>
        <w:tc>
          <w:tcPr>
            <w:tcW w:type="dxa" w:w="10166"/>
            <w:shd w:fill="FFF4E5"/>
          </w:tcPr>
          <w:p>
            <w:r>
              <w:rPr>
                <w:b/>
                <w:sz w:val="20"/>
              </w:rPr>
              <w:t>Coût Google Places</w:t>
              <w:br/>
            </w:r>
            <w:r>
              <w:t>Le FieldMask est obligatoire dans Place Details (New) et permet de limiter données, latence et facturation. Ne jamais utiliser * en production.</w:t>
            </w:r>
          </w:p>
        </w:tc>
      </w:tr>
    </w:tbl>
    <w:p/>
    <w:p>
      <w:pPr>
        <w:pStyle w:val="Heading1"/>
      </w:pPr>
      <w:r>
        <w:t>9. Stack figée : boring tech</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EEF5"/>
          </w:tcPr>
          <w:p>
            <w:r>
              <w:rPr>
                <w:b/>
              </w:rPr>
              <w:t>Couche</w:t>
            </w:r>
          </w:p>
        </w:tc>
        <w:tc>
          <w:tcPr>
            <w:tcW w:type="dxa" w:w="3389"/>
            <w:shd w:fill="E8EEF5"/>
          </w:tcPr>
          <w:p>
            <w:r>
              <w:rPr>
                <w:b/>
              </w:rPr>
              <w:t>Choix</w:t>
            </w:r>
          </w:p>
        </w:tc>
        <w:tc>
          <w:tcPr>
            <w:tcW w:type="dxa" w:w="3389"/>
            <w:shd w:fill="E8EEF5"/>
          </w:tcPr>
          <w:p>
            <w:r>
              <w:rPr>
                <w:b/>
              </w:rPr>
              <w:t>Pourquoi</w:t>
            </w:r>
          </w:p>
        </w:tc>
      </w:tr>
      <w:tr>
        <w:tc>
          <w:tcPr>
            <w:tcW w:type="dxa" w:w="3389"/>
            <w:vAlign w:val="top"/>
          </w:tcPr>
          <w:p>
            <w:r>
              <w:rPr>
                <w:sz w:val="17"/>
              </w:rPr>
              <w:t>Langage</w:t>
            </w:r>
          </w:p>
        </w:tc>
        <w:tc>
          <w:tcPr>
            <w:tcW w:type="dxa" w:w="3389"/>
            <w:vAlign w:val="top"/>
          </w:tcPr>
          <w:p>
            <w:r>
              <w:rPr>
                <w:sz w:val="17"/>
              </w:rPr>
              <w:t>Go</w:t>
            </w:r>
          </w:p>
        </w:tc>
        <w:tc>
          <w:tcPr>
            <w:tcW w:type="dxa" w:w="3389"/>
            <w:vAlign w:val="top"/>
          </w:tcPr>
          <w:p>
            <w:r>
              <w:rPr>
                <w:sz w:val="17"/>
              </w:rPr>
              <w:t>Connu du fondateur, performant, déploiement simple.</w:t>
            </w:r>
          </w:p>
        </w:tc>
      </w:tr>
      <w:tr>
        <w:tc>
          <w:tcPr>
            <w:tcW w:type="dxa" w:w="3389"/>
            <w:vAlign w:val="top"/>
          </w:tcPr>
          <w:p>
            <w:r>
              <w:rPr>
                <w:sz w:val="17"/>
              </w:rPr>
              <w:t>HTTP</w:t>
            </w:r>
          </w:p>
        </w:tc>
        <w:tc>
          <w:tcPr>
            <w:tcW w:type="dxa" w:w="3389"/>
            <w:vAlign w:val="top"/>
          </w:tcPr>
          <w:p>
            <w:r>
              <w:rPr>
                <w:sz w:val="17"/>
              </w:rPr>
              <w:t>net/http</w:t>
            </w:r>
          </w:p>
        </w:tc>
        <w:tc>
          <w:tcPr>
            <w:tcW w:type="dxa" w:w="3389"/>
            <w:vAlign w:val="top"/>
          </w:tcPr>
          <w:p>
            <w:r>
              <w:rPr>
                <w:sz w:val="17"/>
              </w:rPr>
              <w:t>Le routeur standard moderne suffit ; pas de framework requis.</w:t>
            </w:r>
          </w:p>
        </w:tc>
      </w:tr>
      <w:tr>
        <w:tc>
          <w:tcPr>
            <w:tcW w:type="dxa" w:w="3389"/>
            <w:vAlign w:val="top"/>
          </w:tcPr>
          <w:p>
            <w:r>
              <w:rPr>
                <w:sz w:val="17"/>
              </w:rPr>
              <w:t>Templates</w:t>
            </w:r>
          </w:p>
        </w:tc>
        <w:tc>
          <w:tcPr>
            <w:tcW w:type="dxa" w:w="3389"/>
            <w:vAlign w:val="top"/>
          </w:tcPr>
          <w:p>
            <w:r>
              <w:rPr>
                <w:sz w:val="17"/>
              </w:rPr>
              <w:t>templ</w:t>
            </w:r>
          </w:p>
        </w:tc>
        <w:tc>
          <w:tcPr>
            <w:tcW w:type="dxa" w:w="3389"/>
            <w:vAlign w:val="top"/>
          </w:tcPr>
          <w:p>
            <w:r>
              <w:rPr>
                <w:sz w:val="17"/>
              </w:rPr>
              <w:t>Composants SSR typés, reste du Go.</w:t>
            </w:r>
          </w:p>
        </w:tc>
      </w:tr>
      <w:tr>
        <w:tc>
          <w:tcPr>
            <w:tcW w:type="dxa" w:w="3389"/>
            <w:vAlign w:val="top"/>
          </w:tcPr>
          <w:p>
            <w:r>
              <w:rPr>
                <w:sz w:val="17"/>
              </w:rPr>
              <w:t>HTML</w:t>
            </w:r>
          </w:p>
        </w:tc>
        <w:tc>
          <w:tcPr>
            <w:tcW w:type="dxa" w:w="3389"/>
            <w:vAlign w:val="top"/>
          </w:tcPr>
          <w:p>
            <w:r>
              <w:rPr>
                <w:sz w:val="17"/>
              </w:rPr>
              <w:t>HTML natif moderne</w:t>
            </w:r>
          </w:p>
        </w:tc>
        <w:tc>
          <w:tcPr>
            <w:tcW w:type="dxa" w:w="3389"/>
            <w:vAlign w:val="top"/>
          </w:tcPr>
          <w:p>
            <w:r>
              <w:rPr>
                <w:sz w:val="17"/>
              </w:rPr>
              <w:t>Sémantique, forms, dialog, details, popover si pertinent.</w:t>
            </w:r>
          </w:p>
        </w:tc>
      </w:tr>
      <w:tr>
        <w:tc>
          <w:tcPr>
            <w:tcW w:type="dxa" w:w="3389"/>
            <w:vAlign w:val="top"/>
          </w:tcPr>
          <w:p>
            <w:r>
              <w:rPr>
                <w:sz w:val="17"/>
              </w:rPr>
              <w:t>CSS</w:t>
            </w:r>
          </w:p>
        </w:tc>
        <w:tc>
          <w:tcPr>
            <w:tcW w:type="dxa" w:w="3389"/>
            <w:vAlign w:val="top"/>
          </w:tcPr>
          <w:p>
            <w:r>
              <w:rPr>
                <w:sz w:val="17"/>
              </w:rPr>
              <w:t>CSS natif + design tokens</w:t>
            </w:r>
          </w:p>
        </w:tc>
        <w:tc>
          <w:tcPr>
            <w:tcW w:type="dxa" w:w="3389"/>
            <w:vAlign w:val="top"/>
          </w:tcPr>
          <w:p>
            <w:r>
              <w:rPr>
                <w:sz w:val="17"/>
              </w:rPr>
              <w:t>Lisible, peu de dépendances ; Tailwind non requis.</w:t>
            </w:r>
          </w:p>
        </w:tc>
      </w:tr>
      <w:tr>
        <w:tc>
          <w:tcPr>
            <w:tcW w:type="dxa" w:w="3389"/>
            <w:vAlign w:val="top"/>
          </w:tcPr>
          <w:p>
            <w:r>
              <w:rPr>
                <w:sz w:val="17"/>
              </w:rPr>
              <w:t>Interaction serveur</w:t>
            </w:r>
          </w:p>
        </w:tc>
        <w:tc>
          <w:tcPr>
            <w:tcW w:type="dxa" w:w="3389"/>
            <w:vAlign w:val="top"/>
          </w:tcPr>
          <w:p>
            <w:r>
              <w:rPr>
                <w:sz w:val="17"/>
              </w:rPr>
              <w:t>HTMX en progressive enhancement</w:t>
            </w:r>
          </w:p>
        </w:tc>
        <w:tc>
          <w:tcPr>
            <w:tcW w:type="dxa" w:w="3389"/>
            <w:vAlign w:val="top"/>
          </w:tcPr>
          <w:p>
            <w:r>
              <w:rPr>
                <w:sz w:val="17"/>
              </w:rPr>
              <w:t>Le serveur reste le moteur ; le HTML fonctionne conceptuellement sans SPA.</w:t>
            </w:r>
          </w:p>
        </w:tc>
      </w:tr>
      <w:tr>
        <w:tc>
          <w:tcPr>
            <w:tcW w:type="dxa" w:w="3389"/>
            <w:vAlign w:val="top"/>
          </w:tcPr>
          <w:p>
            <w:r>
              <w:rPr>
                <w:sz w:val="17"/>
              </w:rPr>
              <w:t>JS local</w:t>
            </w:r>
          </w:p>
        </w:tc>
        <w:tc>
          <w:tcPr>
            <w:tcW w:type="dxa" w:w="3389"/>
            <w:vAlign w:val="top"/>
          </w:tcPr>
          <w:p>
            <w:r>
              <w:rPr>
                <w:sz w:val="17"/>
              </w:rPr>
              <w:t>Stimulus uniquement si besoin</w:t>
            </w:r>
          </w:p>
        </w:tc>
        <w:tc>
          <w:tcPr>
            <w:tcW w:type="dxa" w:w="3389"/>
            <w:vAlign w:val="top"/>
          </w:tcPr>
          <w:p>
            <w:r>
              <w:rPr>
                <w:sz w:val="17"/>
              </w:rPr>
              <w:t>Ajouter seulement si le JS devient assez structuré pour le justifier.</w:t>
            </w:r>
          </w:p>
        </w:tc>
      </w:tr>
      <w:tr>
        <w:tc>
          <w:tcPr>
            <w:tcW w:type="dxa" w:w="3389"/>
            <w:vAlign w:val="top"/>
          </w:tcPr>
          <w:p>
            <w:r>
              <w:rPr>
                <w:sz w:val="17"/>
              </w:rPr>
              <w:t>DB</w:t>
            </w:r>
          </w:p>
        </w:tc>
        <w:tc>
          <w:tcPr>
            <w:tcW w:type="dxa" w:w="3389"/>
            <w:vAlign w:val="top"/>
          </w:tcPr>
          <w:p>
            <w:r>
              <w:rPr>
                <w:sz w:val="17"/>
              </w:rPr>
              <w:t>PostgreSQL 18.x</w:t>
            </w:r>
          </w:p>
        </w:tc>
        <w:tc>
          <w:tcPr>
            <w:tcW w:type="dxa" w:w="3389"/>
            <w:vAlign w:val="top"/>
          </w:tcPr>
          <w:p>
            <w:r>
              <w:rPr>
                <w:sz w:val="17"/>
              </w:rPr>
              <w:t>Solide, familier, extensions disponibles sans les ajouter prématurément.</w:t>
            </w:r>
          </w:p>
        </w:tc>
      </w:tr>
      <w:tr>
        <w:tc>
          <w:tcPr>
            <w:tcW w:type="dxa" w:w="3389"/>
            <w:vAlign w:val="top"/>
          </w:tcPr>
          <w:p>
            <w:r>
              <w:rPr>
                <w:sz w:val="17"/>
              </w:rPr>
              <w:t>Driver</w:t>
            </w:r>
          </w:p>
        </w:tc>
        <w:tc>
          <w:tcPr>
            <w:tcW w:type="dxa" w:w="3389"/>
            <w:vAlign w:val="top"/>
          </w:tcPr>
          <w:p>
            <w:r>
              <w:rPr>
                <w:sz w:val="17"/>
              </w:rPr>
              <w:t>pgx</w:t>
            </w:r>
          </w:p>
        </w:tc>
        <w:tc>
          <w:tcPr>
            <w:tcW w:type="dxa" w:w="3389"/>
            <w:vAlign w:val="top"/>
          </w:tcPr>
          <w:p>
            <w:r>
              <w:rPr>
                <w:sz w:val="17"/>
              </w:rPr>
              <w:t>Accès PostgreSQL Go direct.</w:t>
            </w:r>
          </w:p>
        </w:tc>
      </w:tr>
      <w:tr>
        <w:tc>
          <w:tcPr>
            <w:tcW w:type="dxa" w:w="3389"/>
            <w:vAlign w:val="top"/>
          </w:tcPr>
          <w:p>
            <w:r>
              <w:rPr>
                <w:sz w:val="17"/>
              </w:rPr>
              <w:t>Migrations</w:t>
            </w:r>
          </w:p>
        </w:tc>
        <w:tc>
          <w:tcPr>
            <w:tcW w:type="dxa" w:w="3389"/>
            <w:vAlign w:val="top"/>
          </w:tcPr>
          <w:p>
            <w:r>
              <w:rPr>
                <w:sz w:val="17"/>
              </w:rPr>
              <w:t>Goose</w:t>
            </w:r>
          </w:p>
        </w:tc>
        <w:tc>
          <w:tcPr>
            <w:tcW w:type="dxa" w:w="3389"/>
            <w:vAlign w:val="top"/>
          </w:tcPr>
          <w:p>
            <w:r>
              <w:rPr>
                <w:sz w:val="17"/>
              </w:rPr>
              <w:t>Déjà cohérent avec le template.</w:t>
            </w:r>
          </w:p>
        </w:tc>
      </w:tr>
      <w:tr>
        <w:tc>
          <w:tcPr>
            <w:tcW w:type="dxa" w:w="3389"/>
            <w:vAlign w:val="top"/>
          </w:tcPr>
          <w:p>
            <w:r>
              <w:rPr>
                <w:sz w:val="17"/>
              </w:rPr>
              <w:t>Voix</w:t>
            </w:r>
          </w:p>
        </w:tc>
        <w:tc>
          <w:tcPr>
            <w:tcW w:type="dxa" w:w="3389"/>
            <w:vAlign w:val="top"/>
          </w:tcPr>
          <w:p>
            <w:r>
              <w:rPr>
                <w:sz w:val="17"/>
              </w:rPr>
              <w:t>ElevenLabs au MVP derrière VoiceProvider</w:t>
            </w:r>
          </w:p>
        </w:tc>
        <w:tc>
          <w:tcPr>
            <w:tcW w:type="dxa" w:w="3389"/>
            <w:vAlign w:val="top"/>
          </w:tcPr>
          <w:p>
            <w:r>
              <w:rPr>
                <w:sz w:val="17"/>
              </w:rPr>
              <w:t>Ship vite ; peut être remplacé plus tard.</w:t>
            </w:r>
          </w:p>
        </w:tc>
      </w:tr>
      <w:tr>
        <w:tc>
          <w:tcPr>
            <w:tcW w:type="dxa" w:w="3389"/>
            <w:vAlign w:val="top"/>
          </w:tcPr>
          <w:p>
            <w:r>
              <w:rPr>
                <w:sz w:val="17"/>
              </w:rPr>
              <w:t>Planning</w:t>
            </w:r>
          </w:p>
        </w:tc>
        <w:tc>
          <w:tcPr>
            <w:tcW w:type="dxa" w:w="3389"/>
            <w:vAlign w:val="top"/>
          </w:tcPr>
          <w:p>
            <w:r>
              <w:rPr>
                <w:sz w:val="17"/>
              </w:rPr>
              <w:t>Interne + SchedulingProvider</w:t>
            </w:r>
          </w:p>
        </w:tc>
        <w:tc>
          <w:tcPr>
            <w:tcW w:type="dxa" w:w="3389"/>
            <w:vAlign w:val="top"/>
          </w:tcPr>
          <w:p>
            <w:r>
              <w:rPr>
                <w:sz w:val="17"/>
              </w:rPr>
              <w:t>Aucun besoin que le garage ait Google Calendar.</w:t>
            </w:r>
          </w:p>
        </w:tc>
      </w:tr>
      <w:tr>
        <w:tc>
          <w:tcPr>
            <w:tcW w:type="dxa" w:w="3389"/>
            <w:vAlign w:val="top"/>
          </w:tcPr>
          <w:p>
            <w:r>
              <w:rPr>
                <w:sz w:val="17"/>
              </w:rPr>
              <w:t>Paiement</w:t>
            </w:r>
          </w:p>
        </w:tc>
        <w:tc>
          <w:tcPr>
            <w:tcW w:type="dxa" w:w="3389"/>
            <w:vAlign w:val="top"/>
          </w:tcPr>
          <w:p>
            <w:r>
              <w:rPr>
                <w:sz w:val="17"/>
              </w:rPr>
              <w:t>Stripe Checkout + Customer Portal</w:t>
            </w:r>
          </w:p>
        </w:tc>
        <w:tc>
          <w:tcPr>
            <w:tcW w:type="dxa" w:w="3389"/>
            <w:vAlign w:val="top"/>
          </w:tcPr>
          <w:p>
            <w:r>
              <w:rPr>
                <w:sz w:val="17"/>
              </w:rPr>
              <w:t>Ne pas construire la gestion CB.</w:t>
            </w:r>
          </w:p>
        </w:tc>
      </w:tr>
      <w:tr>
        <w:tc>
          <w:tcPr>
            <w:tcW w:type="dxa" w:w="3389"/>
            <w:vAlign w:val="top"/>
          </w:tcPr>
          <w:p>
            <w:r>
              <w:rPr>
                <w:sz w:val="17"/>
              </w:rPr>
              <w:t>Déploiement</w:t>
            </w:r>
          </w:p>
        </w:tc>
        <w:tc>
          <w:tcPr>
            <w:tcW w:type="dxa" w:w="3389"/>
            <w:vAlign w:val="top"/>
          </w:tcPr>
          <w:p>
            <w:r>
              <w:rPr>
                <w:sz w:val="17"/>
              </w:rPr>
              <w:t>Docker Compose / Dokploy / VPS</w:t>
            </w:r>
          </w:p>
        </w:tc>
        <w:tc>
          <w:tcPr>
            <w:tcW w:type="dxa" w:w="3389"/>
            <w:vAlign w:val="top"/>
          </w:tcPr>
          <w:p>
            <w:r>
              <w:rPr>
                <w:sz w:val="17"/>
              </w:rPr>
              <w:t>Deux containers principaux : app + Postgres.</w:t>
            </w:r>
          </w:p>
        </w:tc>
      </w:tr>
    </w:tbl>
    <w:p/>
    <w:p>
      <w:pPr>
        <w:pStyle w:val="Heading1"/>
      </w:pPr>
      <w:r>
        <w:t>10. Frontend : HTML/CSS comme base, JS comme enrichment</w:t>
      </w:r>
    </w:p>
    <w:tbl>
      <w:tblPr>
        <w:tblStyle w:val="TableGrid"/>
        <w:tblW w:type="auto" w:w="0"/>
        <w:tblLook w:firstColumn="1" w:firstRow="1" w:lastColumn="0" w:lastRow="0" w:noHBand="0" w:noVBand="1" w:val="04A0"/>
      </w:tblPr>
      <w:tblGrid>
        <w:gridCol w:w="10166"/>
      </w:tblGrid>
      <w:tr>
        <w:tc>
          <w:tcPr>
            <w:tcW w:type="dxa" w:w="10166"/>
            <w:shd w:fill="F4F7FA"/>
          </w:tcPr>
          <w:p>
            <w:r>
              <w:rPr>
                <w:b/>
                <w:sz w:val="20"/>
              </w:rPr>
              <w:t>Principe</w:t>
              <w:br/>
            </w:r>
            <w:r>
              <w:t>HTMX/Stimulus améliorent une page serveur ; ils ne doivent pas devenir un deuxième moteur d’application.</w:t>
            </w:r>
          </w:p>
        </w:tc>
      </w:tr>
    </w:tbl>
    <w:p/>
    <w:p>
      <w:pPr>
        <w:ind w:left="259" w:hanging="259"/>
      </w:pPr>
      <w:r>
        <w:rPr>
          <w:b/>
        </w:rPr>
        <w:t xml:space="preserve">1.  </w:t>
      </w:r>
      <w:r>
        <w:t>Chercher d’abord si HTML natif résout le besoin.</w:t>
      </w:r>
    </w:p>
    <w:p>
      <w:pPr>
        <w:ind w:left="259" w:hanging="259"/>
      </w:pPr>
      <w:r>
        <w:rPr>
          <w:b/>
        </w:rPr>
        <w:t xml:space="preserve">2.  </w:t>
      </w:r>
      <w:r>
        <w:t>Puis CSS natif moderne.</w:t>
      </w:r>
    </w:p>
    <w:p>
      <w:pPr>
        <w:ind w:left="259" w:hanging="259"/>
      </w:pPr>
      <w:r>
        <w:rPr>
          <w:b/>
        </w:rPr>
        <w:t xml:space="preserve">3.  </w:t>
      </w:r>
      <w:r>
        <w:t>Puis HTMX si l’interaction nécessite le serveur.</w:t>
      </w:r>
    </w:p>
    <w:p>
      <w:pPr>
        <w:ind w:left="259" w:hanging="259"/>
      </w:pPr>
      <w:r>
        <w:rPr>
          <w:b/>
        </w:rPr>
        <w:t xml:space="preserve">4.  </w:t>
      </w:r>
      <w:r>
        <w:t>Puis quelques lignes de JS natif si purement local.</w:t>
      </w:r>
    </w:p>
    <w:p>
      <w:pPr>
        <w:ind w:left="259" w:hanging="259"/>
      </w:pPr>
      <w:r>
        <w:rPr>
          <w:b/>
        </w:rPr>
        <w:t xml:space="preserve">5.  </w:t>
      </w:r>
      <w:r>
        <w:t>Ajouter Stimulus uniquement quand plusieurs comportements JS méritent une structure.</w:t>
      </w:r>
    </w:p>
    <w:p>
      <w:pPr>
        <w:ind w:left="259" w:hanging="259"/>
      </w:pPr>
      <w:r>
        <w:rPr>
          <w:b/>
        </w:rPr>
        <w:t xml:space="preserve">6.  </w:t>
      </w:r>
      <w:r>
        <w:t>Ajouter une nouvelle dépendance seulement après avoir documenté le problème que les options précédentes ne résolvent pas.</w:t>
      </w:r>
    </w:p>
    <w:p>
      <w:pPr>
        <w:pStyle w:val="Code"/>
        <w:spacing w:after="160"/>
        <w:ind w:left="259"/>
      </w:pPr>
      <w:r>
        <w:t>Exemple modal : &lt;dialog&gt; avant une librairie de modal.</w:t>
        <w:br/>
        <w:t>Exemple chargement partiel : hx-get / hx-post + fragment templ avant un store client.</w:t>
        <w:br/>
        <w:t>Exemple design : .call-card + tokens CSS avant 25 classes utilitaires.</w:t>
      </w:r>
    </w:p>
    <w:p>
      <w:pPr>
        <w:pStyle w:val="Heading2"/>
      </w:pPr>
      <w:r>
        <w:t>10.1 Design tokens</w:t>
      </w:r>
    </w:p>
    <w:p>
      <w:pPr>
        <w:pStyle w:val="Code"/>
        <w:spacing w:after="160"/>
        <w:ind w:left="259"/>
      </w:pPr>
      <w:r>
        <w:t>:root {</w:t>
        <w:br/>
        <w:t xml:space="preserve">  --color-bg: ...;</w:t>
        <w:br/>
        <w:t xml:space="preserve">  --color-surface: ...;</w:t>
        <w:br/>
        <w:t xml:space="preserve">  --color-text: ...;</w:t>
        <w:br/>
        <w:t xml:space="preserve">  --space-1: .25rem;</w:t>
        <w:br/>
        <w:t xml:space="preserve">  --space-2: .5rem;</w:t>
        <w:br/>
        <w:t xml:space="preserve">  --radius-sm: .375rem;</w:t>
        <w:br/>
        <w:t xml:space="preserve">  --radius-md: .625rem;</w:t>
        <w:br/>
        <w:t>}</w:t>
        <w:br/>
        <w:br/>
        <w:t>.call-card { ... }</w:t>
      </w:r>
    </w:p>
    <w:p>
      <w:pPr>
        <w:pStyle w:val="Heading1"/>
      </w:pPr>
      <w:r>
        <w:t>11. Site public, SEO et pages légales</w:t>
      </w:r>
    </w:p>
    <w:p>
      <w:r>
        <w:t>La landing et le dashboard peuvent être servis par la même application Go. Les pages publiques sont SSR et doivent être excellentes sans dépendre d’un framework frontend.</w:t>
      </w:r>
    </w:p>
    <w:p>
      <w:pPr>
        <w:pStyle w:val="ListBullet"/>
      </w:pPr>
      <w:r>
        <w:t>Routes : /, /fonctionnalites, /tarifs, /garages, /demo, /contact.</w:t>
      </w:r>
    </w:p>
    <w:p>
      <w:pPr>
        <w:pStyle w:val="ListBullet"/>
      </w:pPr>
      <w:r>
        <w:t>SEO : title, meta description, canonical, Open Graph, JSON-LD pertinent, sitemap.xml, robots.txt.</w:t>
      </w:r>
    </w:p>
    <w:p>
      <w:pPr>
        <w:pStyle w:val="ListBullet"/>
      </w:pPr>
      <w:r>
        <w:t>Footer : Fonctionnalités, Tarifs, Démo, Contact, Mentions légales, Politique de confidentialité, CGV, CGU.</w:t>
      </w:r>
    </w:p>
    <w:p>
      <w:pPr>
        <w:pStyle w:val="ListBullet"/>
      </w:pPr>
      <w:r>
        <w:t>Pas de trackers marketing non nécessaires pendant la prospection manuelle.</w:t>
      </w:r>
    </w:p>
    <w:p>
      <w:pPr>
        <w:pStyle w:val="ListBullet"/>
      </w:pPr>
      <w:r>
        <w:t>Avant Meta Ads : consentement/cookies à traiter correctement selon les traceurs réellement utilisés.</w:t>
      </w:r>
    </w:p>
    <w:p>
      <w:pPr>
        <w:pStyle w:val="Heading1"/>
      </w:pPr>
      <w:r>
        <w:t>12. Infrastructure : minimum maintenable</w:t>
      </w:r>
    </w:p>
    <w:p>
      <w:pPr>
        <w:pStyle w:val="Code"/>
        <w:spacing w:after="160"/>
        <w:ind w:left="259"/>
      </w:pPr>
      <w:r>
        <w:t>Docker Compose</w:t>
        <w:br/>
        <w:t xml:space="preserve"> ├─ app (binaire Go + assets)</w:t>
        <w:br/>
        <w:t xml:space="preserve"> └─ postgres</w:t>
        <w:br/>
        <w:br/>
        <w:t>Reverse proxy / TLS : Dokploy ou infrastructure VPS déjà utilisée.</w:t>
      </w:r>
    </w:p>
    <w:p>
      <w:pPr>
        <w:pStyle w:val="ListBullet"/>
      </w:pPr>
      <w:r>
        <w:t>Pas de Kubernetes.</w:t>
      </w:r>
    </w:p>
    <w:p>
      <w:pPr>
        <w:pStyle w:val="ListBullet"/>
      </w:pPr>
      <w:r>
        <w:t>Pas de Redis au MVP.</w:t>
      </w:r>
    </w:p>
    <w:p>
      <w:pPr>
        <w:pStyle w:val="ListBullet"/>
      </w:pPr>
      <w:r>
        <w:t>Pas de Kafka.</w:t>
      </w:r>
    </w:p>
    <w:p>
      <w:pPr>
        <w:pStyle w:val="ListBullet"/>
      </w:pPr>
      <w:r>
        <w:t>Pas de microservices.</w:t>
      </w:r>
    </w:p>
    <w:p>
      <w:pPr>
        <w:pStyle w:val="ListBullet"/>
      </w:pPr>
      <w:r>
        <w:t>Pas de queue externe tant qu’un besoin mesuré ne l’exige pas.</w:t>
      </w:r>
    </w:p>
    <w:p>
      <w:pPr>
        <w:pStyle w:val="ListBullet"/>
      </w:pPr>
      <w:r>
        <w:t>Backup PostgreSQL quotidien vers un stockage externe au VPS.</w:t>
      </w:r>
    </w:p>
    <w:p>
      <w:pPr>
        <w:pStyle w:val="ListBullet"/>
      </w:pPr>
      <w:r>
        <w:t>Health/readiness endpoints et logs structurés.</w:t>
      </w:r>
    </w:p>
    <w:p>
      <w:pPr>
        <w:pStyle w:val="Heading1"/>
      </w:pPr>
      <w:r>
        <w:t>13. Ports externes à isoler dès le début</w:t>
      </w:r>
    </w:p>
    <w:p>
      <w:pPr>
        <w:pStyle w:val="Code"/>
        <w:spacing w:after="160"/>
        <w:ind w:left="259"/>
      </w:pPr>
      <w:r>
        <w:t>type VoiceProvider interface { ... }</w:t>
        <w:br/>
        <w:br/>
        <w:t>type SchedulingProvider interface {</w:t>
        <w:br/>
        <w:t xml:space="preserve">    AvailableSlots(...)</w:t>
        <w:br/>
        <w:t xml:space="preserve">    Book(...)</w:t>
        <w:br/>
        <w:t xml:space="preserve">    Reschedule(...)</w:t>
        <w:br/>
        <w:t xml:space="preserve">    Cancel(...)</w:t>
        <w:br/>
        <w:t>}</w:t>
        <w:br/>
        <w:br/>
        <w:t>type BusinessEnrichmentProvider interface { ... }</w:t>
      </w:r>
    </w:p>
    <w:p>
      <w:r>
        <w:t>Ce sont des abstractions justifiées parce que ces fournisseurs ont un coût, peuvent changer et représentent un risque de lock-in. Ne pas appliquer Ports &amp; Adapters à chaque fonction triviale.</w:t>
      </w:r>
    </w:p>
    <w:p>
      <w:pPr>
        <w:pStyle w:val="Heading1"/>
      </w:pPr>
      <w:r>
        <w:t>14. Voix : ce que le fournisseur fait, ce que Go garde</w:t>
      </w:r>
    </w:p>
    <w:tbl>
      <w:tblPr>
        <w:tblStyle w:val="TableGrid"/>
        <w:tblW w:type="auto" w:w="0"/>
        <w:jc w:val="center"/>
        <w:tblLook w:firstColumn="1" w:firstRow="1" w:lastColumn="0" w:lastRow="0" w:noHBand="0" w:noVBand="1" w:val="04A0"/>
      </w:tblPr>
      <w:tblGrid>
        <w:gridCol w:w="5083"/>
        <w:gridCol w:w="5083"/>
      </w:tblGrid>
      <w:tr>
        <w:tc>
          <w:tcPr>
            <w:tcW w:type="dxa" w:w="5083"/>
            <w:shd w:fill="E8EEF5"/>
          </w:tcPr>
          <w:p>
            <w:r>
              <w:rPr>
                <w:b/>
              </w:rPr>
              <w:t>Fournisseur voix</w:t>
            </w:r>
          </w:p>
        </w:tc>
        <w:tc>
          <w:tcPr>
            <w:tcW w:type="dxa" w:w="5083"/>
            <w:shd w:fill="E8EEF5"/>
          </w:tcPr>
          <w:p>
            <w:r>
              <w:rPr>
                <w:b/>
              </w:rPr>
              <w:t>Backend Go</w:t>
            </w:r>
          </w:p>
        </w:tc>
      </w:tr>
      <w:tr>
        <w:tc>
          <w:tcPr>
            <w:tcW w:type="dxa" w:w="5083"/>
            <w:vAlign w:val="top"/>
          </w:tcPr>
          <w:p>
            <w:r>
              <w:rPr>
                <w:sz w:val="17"/>
              </w:rPr>
              <w:t>STT/TTS, interruption, session vocale</w:t>
            </w:r>
          </w:p>
        </w:tc>
        <w:tc>
          <w:tcPr>
            <w:tcW w:type="dxa" w:w="5083"/>
            <w:vAlign w:val="top"/>
          </w:tcPr>
          <w:p>
            <w:r>
              <w:rPr>
                <w:sz w:val="17"/>
              </w:rPr>
              <w:t>Identité tenant et règles métier</w:t>
            </w:r>
          </w:p>
        </w:tc>
      </w:tr>
      <w:tr>
        <w:tc>
          <w:tcPr>
            <w:tcW w:type="dxa" w:w="5083"/>
            <w:vAlign w:val="top"/>
          </w:tcPr>
          <w:p>
            <w:r>
              <w:rPr>
                <w:sz w:val="17"/>
              </w:rPr>
              <w:t>Appels téléphoniques</w:t>
            </w:r>
          </w:p>
        </w:tc>
        <w:tc>
          <w:tcPr>
            <w:tcW w:type="dxa" w:w="5083"/>
            <w:vAlign w:val="top"/>
          </w:tcPr>
          <w:p>
            <w:r>
              <w:rPr>
                <w:sz w:val="17"/>
              </w:rPr>
              <w:t>Clients/véhicules/interventions</w:t>
            </w:r>
          </w:p>
        </w:tc>
      </w:tr>
      <w:tr>
        <w:tc>
          <w:tcPr>
            <w:tcW w:type="dxa" w:w="5083"/>
            <w:vAlign w:val="top"/>
          </w:tcPr>
          <w:p>
            <w:r>
              <w:rPr>
                <w:sz w:val="17"/>
              </w:rPr>
              <w:t>Tool invocation HTTP</w:t>
            </w:r>
          </w:p>
        </w:tc>
        <w:tc>
          <w:tcPr>
            <w:tcW w:type="dxa" w:w="5083"/>
            <w:vAlign w:val="top"/>
          </w:tcPr>
          <w:p>
            <w:r>
              <w:rPr>
                <w:sz w:val="17"/>
              </w:rPr>
              <w:t>Validation et exécution des tools</w:t>
            </w:r>
          </w:p>
        </w:tc>
      </w:tr>
      <w:tr>
        <w:tc>
          <w:tcPr>
            <w:tcW w:type="dxa" w:w="5083"/>
            <w:vAlign w:val="top"/>
          </w:tcPr>
          <w:p>
            <w:r>
              <w:rPr>
                <w:sz w:val="17"/>
              </w:rPr>
              <w:t>Transfert humain</w:t>
            </w:r>
          </w:p>
        </w:tc>
        <w:tc>
          <w:tcPr>
            <w:tcW w:type="dxa" w:w="5083"/>
            <w:vAlign w:val="top"/>
          </w:tcPr>
          <w:p>
            <w:r>
              <w:rPr>
                <w:sz w:val="17"/>
              </w:rPr>
              <w:t>Autorisation et destination métier</w:t>
            </w:r>
          </w:p>
        </w:tc>
      </w:tr>
      <w:tr>
        <w:tc>
          <w:tcPr>
            <w:tcW w:type="dxa" w:w="5083"/>
            <w:vAlign w:val="top"/>
          </w:tcPr>
          <w:p>
            <w:r>
              <w:rPr>
                <w:sz w:val="17"/>
              </w:rPr>
              <w:t>Post-call events</w:t>
            </w:r>
          </w:p>
        </w:tc>
        <w:tc>
          <w:tcPr>
            <w:tcW w:type="dxa" w:w="5083"/>
            <w:vAlign w:val="top"/>
          </w:tcPr>
          <w:p>
            <w:r>
              <w:rPr>
                <w:sz w:val="17"/>
              </w:rPr>
              <w:t>Persistance, coût, résumé/outcome si nécessaire</w:t>
            </w:r>
          </w:p>
        </w:tc>
      </w:tr>
    </w:tbl>
    <w:p/>
    <w:p>
      <w:r>
        <w:t>ElevenLabs documente les webhook tools pour interroger ou modifier des systèmes externes et un système de transfert vers numéro/SIP. Cela permet au MVP de déléguer la plomberie vocale tout en conservant la logique dans Go.</w:t>
      </w:r>
    </w:p>
    <w:p>
      <w:pPr>
        <w:pStyle w:val="Heading1"/>
      </w:pPr>
      <w:r>
        <w:t>15. Protocole de développement à deux agents IA</w:t>
      </w:r>
    </w:p>
    <w:tbl>
      <w:tblPr>
        <w:tblStyle w:val="TableGrid"/>
        <w:tblW w:type="auto" w:w="0"/>
        <w:tblLook w:firstColumn="1" w:firstRow="1" w:lastColumn="0" w:lastRow="0" w:noHBand="0" w:noVBand="1" w:val="04A0"/>
      </w:tblPr>
      <w:tblGrid>
        <w:gridCol w:w="10166"/>
      </w:tblGrid>
      <w:tr>
        <w:tc>
          <w:tcPr>
            <w:tcW w:type="dxa" w:w="10166"/>
            <w:shd w:fill="F4F7FA"/>
          </w:tcPr>
          <w:p>
            <w:r>
              <w:rPr>
                <w:b/>
                <w:sz w:val="20"/>
              </w:rPr>
              <w:t>Objectif</w:t>
              <w:br/>
            </w:r>
            <w:r>
              <w:t>Maximiser le parallélisme sans créer deux architectures concurrentes. Les agents travaillent sur des vertical slices complémentaires, pas sur les mêmes fichiers centraux au même moment.</w:t>
            </w:r>
          </w:p>
        </w:tc>
      </w:tr>
    </w:tbl>
    <w:p/>
    <w:p>
      <w:pPr>
        <w:pStyle w:val="Heading2"/>
      </w:pPr>
      <w:r>
        <w:t>15.1 Rôles</w:t>
      </w:r>
    </w:p>
    <w:tbl>
      <w:tblPr>
        <w:tblStyle w:val="TableGrid"/>
        <w:tblW w:type="auto" w:w="0"/>
        <w:jc w:val="center"/>
        <w:tblLook w:firstColumn="1" w:firstRow="1" w:lastColumn="0" w:lastRow="0" w:noHBand="0" w:noVBand="1" w:val="04A0"/>
      </w:tblPr>
      <w:tblGrid>
        <w:gridCol w:w="5083"/>
        <w:gridCol w:w="5083"/>
      </w:tblGrid>
      <w:tr>
        <w:tc>
          <w:tcPr>
            <w:tcW w:type="dxa" w:w="5083"/>
            <w:shd w:fill="E8EEF5"/>
          </w:tcPr>
          <w:p>
            <w:r>
              <w:rPr>
                <w:b/>
              </w:rPr>
              <w:t>Agent A</w:t>
            </w:r>
          </w:p>
        </w:tc>
        <w:tc>
          <w:tcPr>
            <w:tcW w:type="dxa" w:w="5083"/>
            <w:shd w:fill="E8EEF5"/>
          </w:tcPr>
          <w:p>
            <w:r>
              <w:rPr>
                <w:b/>
              </w:rPr>
              <w:t>Agent B</w:t>
            </w:r>
          </w:p>
        </w:tc>
      </w:tr>
      <w:tr>
        <w:tc>
          <w:tcPr>
            <w:tcW w:type="dxa" w:w="5083"/>
            <w:vAlign w:val="top"/>
          </w:tcPr>
          <w:p>
            <w:r>
              <w:rPr>
                <w:sz w:val="17"/>
              </w:rPr>
              <w:t>Backend/domain/data/provider</w:t>
            </w:r>
          </w:p>
        </w:tc>
        <w:tc>
          <w:tcPr>
            <w:tcW w:type="dxa" w:w="5083"/>
            <w:vAlign w:val="top"/>
          </w:tcPr>
          <w:p>
            <w:r>
              <w:rPr>
                <w:sz w:val="17"/>
              </w:rPr>
              <w:t>UI/SSR/HTMX et autre feature indépendante</w:t>
            </w:r>
          </w:p>
        </w:tc>
      </w:tr>
      <w:tr>
        <w:tc>
          <w:tcPr>
            <w:tcW w:type="dxa" w:w="5083"/>
            <w:vAlign w:val="top"/>
          </w:tcPr>
          <w:p>
            <w:r>
              <w:rPr>
                <w:sz w:val="17"/>
              </w:rPr>
              <w:t>Ex. Customer + Vehicle</w:t>
            </w:r>
          </w:p>
        </w:tc>
        <w:tc>
          <w:tcPr>
            <w:tcW w:type="dxa" w:w="5083"/>
            <w:vAlign w:val="top"/>
          </w:tcPr>
          <w:p>
            <w:r>
              <w:rPr>
                <w:sz w:val="17"/>
              </w:rPr>
              <w:t>Ex. Planning + Dashboard</w:t>
            </w:r>
          </w:p>
        </w:tc>
      </w:tr>
      <w:tr>
        <w:tc>
          <w:tcPr>
            <w:tcW w:type="dxa" w:w="5083"/>
            <w:vAlign w:val="top"/>
          </w:tcPr>
          <w:p>
            <w:r>
              <w:rPr>
                <w:sz w:val="17"/>
              </w:rPr>
              <w:t>Écrit contrat HTTP/port quand il en est propriétaire</w:t>
            </w:r>
          </w:p>
        </w:tc>
        <w:tc>
          <w:tcPr>
            <w:tcW w:type="dxa" w:w="5083"/>
            <w:vAlign w:val="top"/>
          </w:tcPr>
          <w:p>
            <w:r>
              <w:rPr>
                <w:sz w:val="17"/>
              </w:rPr>
              <w:t>Peut mocker le contrat figé sans le modifier</w:t>
            </w:r>
          </w:p>
        </w:tc>
      </w:tr>
      <w:tr>
        <w:tc>
          <w:tcPr>
            <w:tcW w:type="dxa" w:w="5083"/>
            <w:vAlign w:val="top"/>
          </w:tcPr>
          <w:p>
            <w:r>
              <w:rPr>
                <w:sz w:val="17"/>
              </w:rPr>
              <w:t>Tests unitaires/intégration de sa slice</w:t>
            </w:r>
          </w:p>
        </w:tc>
        <w:tc>
          <w:tcPr>
            <w:tcW w:type="dxa" w:w="5083"/>
            <w:vAlign w:val="top"/>
          </w:tcPr>
          <w:p>
            <w:r>
              <w:rPr>
                <w:sz w:val="17"/>
              </w:rPr>
              <w:t>Tests UI/handler de sa slice</w:t>
            </w:r>
          </w:p>
        </w:tc>
      </w:tr>
    </w:tbl>
    <w:p/>
    <w:p>
      <w:pPr>
        <w:pStyle w:val="Heading2"/>
      </w:pPr>
      <w:r>
        <w:t>15.2 Workboard partagé</w:t>
      </w:r>
    </w:p>
    <w:p>
      <w:r>
        <w:t>Créer docs/WORKBOARD.md. Chaque tâche est une petite feature mergeable et contient : ID, objectif, owner, fichiers possédés, contrats, dépendances, tests et statut.</w:t>
      </w:r>
    </w:p>
    <w:p>
      <w:pPr>
        <w:pStyle w:val="Code"/>
        <w:spacing w:after="160"/>
        <w:ind w:left="259"/>
      </w:pPr>
      <w:r>
        <w:t>| ID | Feature | Owner | Depends on | Owned paths | Status |</w:t>
        <w:br/>
        <w:t>| F01 | Customer + Vehicle | A | - | internal/core/customer, ... | IN_PROGRESS |</w:t>
        <w:br/>
        <w:t>| F02 | Planning | B | - | internal/core/appointment, ... | IN_PROGRESS |</w:t>
        <w:br/>
        <w:t>| F03 | Voice tool: lookup customer | A | F01 | adapters/voice/... | READY |</w:t>
        <w:br/>
        <w:t>| F04 | Dashboard today | B | F02 | views/dashboard... | READY |</w:t>
      </w:r>
    </w:p>
    <w:p>
      <w:pPr>
        <w:pStyle w:val="Heading2"/>
      </w:pPr>
      <w:r>
        <w:t>15.3 Règles anti-conflit</w:t>
      </w:r>
    </w:p>
    <w:p>
      <w:pPr>
        <w:ind w:left="259" w:hanging="259"/>
      </w:pPr>
      <w:r>
        <w:rPr>
          <w:b/>
        </w:rPr>
        <w:t xml:space="preserve">1.  </w:t>
      </w:r>
      <w:r>
        <w:t>Un agent CLAIM une tâche dans WORKBOARD avant de modifier le code.</w:t>
      </w:r>
    </w:p>
    <w:p>
      <w:pPr>
        <w:ind w:left="259" w:hanging="259"/>
      </w:pPr>
      <w:r>
        <w:rPr>
          <w:b/>
        </w:rPr>
        <w:t xml:space="preserve">2.  </w:t>
      </w:r>
      <w:r>
        <w:t>Une tâche doit avoir des owned paths. L’autre agent n’édite pas ces chemins sans handoff explicite.</w:t>
      </w:r>
    </w:p>
    <w:p>
      <w:pPr>
        <w:ind w:left="259" w:hanging="259"/>
      </w:pPr>
      <w:r>
        <w:rPr>
          <w:b/>
        </w:rPr>
        <w:t xml:space="preserve">3.  </w:t>
      </w:r>
      <w:r>
        <w:t>Les fichiers très partagés (go.mod, DI root, compose, base layout, global CSS tokens) sont SERIAL zones : un seul agent à la fois.</w:t>
      </w:r>
    </w:p>
    <w:p>
      <w:pPr>
        <w:ind w:left="259" w:hanging="259"/>
      </w:pPr>
      <w:r>
        <w:rPr>
          <w:b/>
        </w:rPr>
        <w:t xml:space="preserve">4.  </w:t>
      </w:r>
      <w:r>
        <w:t>Avant deux features parallèles dépendantes, figer d’abord un contrat minimal : interface Go, route HTTP, schema DB ou structure de fragment.</w:t>
      </w:r>
    </w:p>
    <w:p>
      <w:pPr>
        <w:ind w:left="259" w:hanging="259"/>
      </w:pPr>
      <w:r>
        <w:rPr>
          <w:b/>
        </w:rPr>
        <w:t xml:space="preserve">5.  </w:t>
      </w:r>
      <w:r>
        <w:t>Chaque branche doit rester petite et mergeable le jour même lorsque possible.</w:t>
      </w:r>
    </w:p>
    <w:p>
      <w:pPr>
        <w:ind w:left="259" w:hanging="259"/>
      </w:pPr>
      <w:r>
        <w:rPr>
          <w:b/>
        </w:rPr>
        <w:t xml:space="preserve">6.  </w:t>
      </w:r>
      <w:r>
        <w:t>Après merge de A, B rebase/merge main avant d’ouvrir une nouvelle modification dans une zone partagée.</w:t>
      </w:r>
    </w:p>
    <w:p>
      <w:pPr>
        <w:ind w:left="259" w:hanging="259"/>
      </w:pPr>
      <w:r>
        <w:rPr>
          <w:b/>
        </w:rPr>
        <w:t xml:space="preserve">7.  </w:t>
      </w:r>
      <w:r>
        <w:t>Un agent ne refactorise jamais le code de l’autre « au passage » pendant sa feature.</w:t>
      </w:r>
    </w:p>
    <w:p>
      <w:pPr>
        <w:ind w:left="259" w:hanging="259"/>
      </w:pPr>
      <w:r>
        <w:rPr>
          <w:b/>
        </w:rPr>
        <w:t xml:space="preserve">8.  </w:t>
      </w:r>
      <w:r>
        <w:t>Tout besoin de changement de contrat crée une mini-tâche explicite avant modification.</w:t>
      </w:r>
    </w:p>
    <w:p>
      <w:pPr>
        <w:pStyle w:val="Heading2"/>
      </w:pPr>
      <w:r>
        <w:t>15.4 Git workflow</w:t>
      </w:r>
    </w:p>
    <w:p>
      <w:pPr>
        <w:pStyle w:val="Code"/>
        <w:spacing w:after="160"/>
        <w:ind w:left="259"/>
      </w:pPr>
      <w:r>
        <w:t>main</w:t>
        <w:br/>
        <w:t xml:space="preserve"> ├─ feat/F01-customer-vehicle       (Agent A)</w:t>
        <w:br/>
        <w:t xml:space="preserve"> └─ feat/F02-planning               (Agent B)</w:t>
        <w:br/>
        <w:br/>
        <w:t>A termine → tests → review B → merge main</w:t>
        <w:br/>
        <w:t>B termine → tests → review A → merge main</w:t>
        <w:br/>
        <w:t>Puis nouvelles features depuis main à jour.</w:t>
      </w:r>
    </w:p>
    <w:p>
      <w:r>
        <w:t>Ne pas laisser deux branches géantes diverger. Une feature = un résultat utilisateur testable, pas une couche technique entière.</w:t>
      </w:r>
    </w:p>
    <w:p>
      <w:pPr>
        <w:pStyle w:val="Heading1"/>
      </w:pPr>
      <w:r>
        <w:t>16. Review croisée et qualité</w:t>
      </w:r>
    </w:p>
    <w:p>
      <w:pPr>
        <w:ind w:left="259" w:hanging="259"/>
      </w:pPr>
      <w:r>
        <w:rPr>
          <w:b/>
        </w:rPr>
        <w:t xml:space="preserve">1.  </w:t>
      </w:r>
      <w:r>
        <w:t>L’agent qui n’a pas écrit la feature fait la première review.</w:t>
      </w:r>
    </w:p>
    <w:p>
      <w:pPr>
        <w:ind w:left="259" w:hanging="259"/>
      </w:pPr>
      <w:r>
        <w:rPr>
          <w:b/>
        </w:rPr>
        <w:t xml:space="preserve">2.  </w:t>
      </w:r>
      <w:r>
        <w:t>Review = invariants métier, simplicité, docs officielles, tests, sécurité tenant, erreurs et compréhension humaine.</w:t>
      </w:r>
    </w:p>
    <w:p>
      <w:pPr>
        <w:ind w:left="259" w:hanging="259"/>
      </w:pPr>
      <w:r>
        <w:rPr>
          <w:b/>
        </w:rPr>
        <w:t xml:space="preserve">3.  </w:t>
      </w:r>
      <w:r>
        <w:t>Le reviewer ne réécrit pas toute l’architecture. Il demande des changements ciblés.</w:t>
      </w:r>
    </w:p>
    <w:p>
      <w:pPr>
        <w:ind w:left="259" w:hanging="259"/>
      </w:pPr>
      <w:r>
        <w:rPr>
          <w:b/>
        </w:rPr>
        <w:t xml:space="preserve">4.  </w:t>
      </w:r>
      <w:r>
        <w:t>Après merge, exécuter la suite de tests globale et une smoke test de la feature.</w:t>
      </w:r>
    </w:p>
    <w:tbl>
      <w:tblPr>
        <w:tblStyle w:val="TableGrid"/>
        <w:tblW w:type="auto" w:w="0"/>
        <w:tblLook w:firstColumn="1" w:firstRow="1" w:lastColumn="0" w:lastRow="0" w:noHBand="0" w:noVBand="1" w:val="04A0"/>
      </w:tblPr>
      <w:tblGrid>
        <w:gridCol w:w="10166"/>
      </w:tblGrid>
      <w:tr>
        <w:tc>
          <w:tcPr>
            <w:tcW w:type="dxa" w:w="10166"/>
            <w:shd w:fill="FFE7E7"/>
          </w:tcPr>
          <w:p>
            <w:r>
              <w:rPr>
                <w:b/>
                <w:sz w:val="20"/>
              </w:rPr>
              <w:t>Règle anti-vélocité toxique</w:t>
              <w:br/>
            </w:r>
            <w:r>
              <w:t>Deux agents rapides peuvent produire dix fois plus de dette. On optimise le nombre de features validées/mergeées, pas le nombre de tokens générés.</w:t>
            </w:r>
          </w:p>
        </w:tc>
      </w:tr>
    </w:tbl>
    <w:p/>
    <w:p>
      <w:pPr>
        <w:pStyle w:val="Heading1"/>
      </w:pPr>
      <w:r>
        <w:t>17. Documentation obligatoire avant dépendances et APIs</w:t>
      </w:r>
    </w:p>
    <w:p>
      <w:pPr>
        <w:ind w:left="259" w:hanging="259"/>
      </w:pPr>
      <w:r>
        <w:rPr>
          <w:b/>
        </w:rPr>
        <w:t xml:space="preserve">1.  </w:t>
      </w:r>
      <w:r>
        <w:t>Avant d’utiliser une API ou une librairie externe, lire la documentation officielle actuelle.</w:t>
      </w:r>
    </w:p>
    <w:p>
      <w:pPr>
        <w:ind w:left="259" w:hanging="259"/>
      </w:pPr>
      <w:r>
        <w:rPr>
          <w:b/>
        </w:rPr>
        <w:t xml:space="preserve">2.  </w:t>
      </w:r>
      <w:r>
        <w:t>Ne pas inventer un endpoint, un champ, une option ou un comportement à partir de mémoire.</w:t>
      </w:r>
    </w:p>
    <w:p>
      <w:pPr>
        <w:ind w:left="259" w:hanging="259"/>
      </w:pPr>
      <w:r>
        <w:rPr>
          <w:b/>
        </w:rPr>
        <w:t xml:space="preserve">3.  </w:t>
      </w:r>
      <w:r>
        <w:t>Pin les versions de dépendances.</w:t>
      </w:r>
    </w:p>
    <w:p>
      <w:pPr>
        <w:ind w:left="259" w:hanging="259"/>
      </w:pPr>
      <w:r>
        <w:rPr>
          <w:b/>
        </w:rPr>
        <w:t xml:space="preserve">4.  </w:t>
      </w:r>
      <w:r>
        <w:t>Toute nouvelle dépendance doit expliquer pourquoi stdlib/HTML/CSS/HTMX ne suffit pas.</w:t>
      </w:r>
    </w:p>
    <w:p>
      <w:pPr>
        <w:ind w:left="259" w:hanging="259"/>
      </w:pPr>
      <w:r>
        <w:rPr>
          <w:b/>
        </w:rPr>
        <w:t xml:space="preserve">5.  </w:t>
      </w:r>
      <w:r>
        <w:t>Toute intégration externe obtient une courte page docs/&lt;integration&gt;.md : responsabilité, auth, endpoints, webhooks, erreurs, coût, limites, lien vers docs officielles.</w:t>
      </w:r>
    </w:p>
    <w:p>
      <w:pPr>
        <w:ind w:left="259" w:hanging="259"/>
      </w:pPr>
      <w:r>
        <w:rPr>
          <w:b/>
        </w:rPr>
        <w:t xml:space="preserve">6.  </w:t>
      </w:r>
      <w:r>
        <w:t>Toute décision structurante obtient un ADR court.</w:t>
      </w:r>
    </w:p>
    <w:p>
      <w:pPr>
        <w:pStyle w:val="Heading2"/>
      </w:pPr>
      <w:r>
        <w:t>17.1 Documentation projet minimale</w:t>
      </w:r>
    </w:p>
    <w:p>
      <w:pPr>
        <w:pStyle w:val="Code"/>
        <w:spacing w:after="160"/>
        <w:ind w:left="259"/>
      </w:pPr>
      <w:r>
        <w:t>README.md</w:t>
        <w:br/>
        <w:t>AGENTS.md</w:t>
        <w:br/>
        <w:t>docs/</w:t>
        <w:br/>
        <w:t xml:space="preserve">  PRODUCT.md</w:t>
        <w:br/>
        <w:t xml:space="preserve">  ARCHITECTURE.md</w:t>
        <w:br/>
        <w:t xml:space="preserve">  WORKBOARD.md</w:t>
        <w:br/>
        <w:t xml:space="preserve">  DATABASE.md</w:t>
        <w:br/>
        <w:t xml:space="preserve">  TELEPHONY.md</w:t>
        <w:br/>
        <w:t xml:space="preserve">  SCHEDULING.md</w:t>
        <w:br/>
        <w:t xml:space="preserve">  DEPLOYMENT.md</w:t>
        <w:br/>
        <w:t xml:space="preserve">  BACKUPS.md</w:t>
        <w:br/>
        <w:t xml:space="preserve">  BILLING.md</w:t>
        <w:br/>
        <w:t xml:space="preserve">  SECURITY.md</w:t>
        <w:br/>
        <w:t xml:space="preserve">  decisions/</w:t>
        <w:br/>
        <w:t xml:space="preserve">    001-monolith.md</w:t>
        <w:br/>
        <w:t xml:space="preserve">    002-postgres.md</w:t>
        <w:br/>
        <w:t xml:space="preserve">    003-elevenlabs-mvp.md</w:t>
      </w:r>
    </w:p>
    <w:p>
      <w:pPr>
        <w:pStyle w:val="Heading1"/>
      </w:pPr>
      <w:r>
        <w:t>18. Definition of Done pour chaque feature</w:t>
      </w:r>
    </w:p>
    <w:p>
      <w:pPr>
        <w:pStyle w:val="ListBullet"/>
      </w:pPr>
      <w:r>
        <w:t>Résultat utilisateur démontrable.</w:t>
      </w:r>
    </w:p>
    <w:p>
      <w:pPr>
        <w:pStyle w:val="ListBullet"/>
      </w:pPr>
      <w:r>
        <w:t>Tests pertinents passent.</w:t>
      </w:r>
    </w:p>
    <w:p>
      <w:pPr>
        <w:pStyle w:val="ListBullet"/>
      </w:pPr>
      <w:r>
        <w:t>Pas d’erreur ignorée silencieusement.</w:t>
      </w:r>
    </w:p>
    <w:p>
      <w:pPr>
        <w:pStyle w:val="ListBullet"/>
      </w:pPr>
      <w:r>
        <w:t>Isolation tenant vérifiée si applicable.</w:t>
      </w:r>
    </w:p>
    <w:p>
      <w:pPr>
        <w:pStyle w:val="ListBullet"/>
      </w:pPr>
      <w:r>
        <w:t>Migration backward-safe ou stratégie documentée.</w:t>
      </w:r>
    </w:p>
    <w:p>
      <w:pPr>
        <w:pStyle w:val="ListBullet"/>
      </w:pPr>
      <w:r>
        <w:t>Documentation mise à jour si comportement/contrat change.</w:t>
      </w:r>
    </w:p>
    <w:p>
      <w:pPr>
        <w:pStyle w:val="ListBullet"/>
      </w:pPr>
      <w:r>
        <w:t>Pas de nouvelle dépendance injustifiée.</w:t>
      </w:r>
    </w:p>
    <w:p>
      <w:pPr>
        <w:pStyle w:val="ListBullet"/>
      </w:pPr>
      <w:r>
        <w:t>Review croisée terminée.</w:t>
      </w:r>
    </w:p>
    <w:p>
      <w:pPr>
        <w:pStyle w:val="ListBullet"/>
      </w:pPr>
      <w:r>
        <w:t>Branche mergeable sans TODO critique caché.</w:t>
      </w:r>
    </w:p>
    <w:p>
      <w:pPr>
        <w:pStyle w:val="Heading1"/>
      </w:pPr>
      <w:r>
        <w:t>19. Exemple de sprint à deux agents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8EEF5"/>
          </w:tcPr>
          <w:p>
            <w:r>
              <w:rPr>
                <w:b/>
              </w:rPr>
              <w:t>Jour</w:t>
            </w:r>
          </w:p>
        </w:tc>
        <w:tc>
          <w:tcPr>
            <w:tcW w:type="dxa" w:w="2541"/>
            <w:shd w:fill="E8EEF5"/>
          </w:tcPr>
          <w:p>
            <w:r>
              <w:rPr>
                <w:b/>
              </w:rPr>
              <w:t>Agent A</w:t>
            </w:r>
          </w:p>
        </w:tc>
        <w:tc>
          <w:tcPr>
            <w:tcW w:type="dxa" w:w="2541"/>
            <w:shd w:fill="E8EEF5"/>
          </w:tcPr>
          <w:p>
            <w:r>
              <w:rPr>
                <w:b/>
              </w:rPr>
              <w:t>Agent B</w:t>
            </w:r>
          </w:p>
        </w:tc>
        <w:tc>
          <w:tcPr>
            <w:tcW w:type="dxa" w:w="2541"/>
            <w:shd w:fill="E8EEF5"/>
          </w:tcPr>
          <w:p>
            <w:r>
              <w:rPr>
                <w:b/>
              </w:rPr>
              <w:t>Point de merge</w:t>
            </w:r>
          </w:p>
        </w:tc>
      </w:tr>
      <w:tr>
        <w:tc>
          <w:tcPr>
            <w:tcW w:type="dxa" w:w="2541"/>
            <w:vAlign w:val="top"/>
          </w:tcPr>
          <w:p>
            <w:r>
              <w:rPr>
                <w:sz w:val="17"/>
              </w:rPr>
              <w:t>J1</w:t>
            </w:r>
          </w:p>
        </w:tc>
        <w:tc>
          <w:tcPr>
            <w:tcW w:type="dxa" w:w="2541"/>
            <w:vAlign w:val="top"/>
          </w:tcPr>
          <w:p>
            <w:r>
              <w:rPr>
                <w:sz w:val="17"/>
              </w:rPr>
              <w:t>Postgres + Tenant + Customer/Vehicle</w:t>
            </w:r>
          </w:p>
        </w:tc>
        <w:tc>
          <w:tcPr>
            <w:tcW w:type="dxa" w:w="2541"/>
            <w:vAlign w:val="top"/>
          </w:tcPr>
          <w:p>
            <w:r>
              <w:rPr>
                <w:sz w:val="17"/>
              </w:rPr>
              <w:t>templ/layout + CSS tokens + auth screens statiques</w:t>
            </w:r>
          </w:p>
        </w:tc>
        <w:tc>
          <w:tcPr>
            <w:tcW w:type="dxa" w:w="2541"/>
            <w:vAlign w:val="top"/>
          </w:tcPr>
          <w:p>
            <w:r>
              <w:rPr>
                <w:sz w:val="17"/>
              </w:rPr>
              <w:t>Contracts DB/HTTP figés</w:t>
            </w:r>
          </w:p>
        </w:tc>
      </w:tr>
      <w:tr>
        <w:tc>
          <w:tcPr>
            <w:tcW w:type="dxa" w:w="2541"/>
            <w:vAlign w:val="top"/>
          </w:tcPr>
          <w:p>
            <w:r>
              <w:rPr>
                <w:sz w:val="17"/>
              </w:rPr>
              <w:t>J2</w:t>
            </w:r>
          </w:p>
        </w:tc>
        <w:tc>
          <w:tcPr>
            <w:tcW w:type="dxa" w:w="2541"/>
            <w:vAlign w:val="top"/>
          </w:tcPr>
          <w:p>
            <w:r>
              <w:rPr>
                <w:sz w:val="17"/>
              </w:rPr>
              <w:t>Customer/Vehicle handlers + lookup</w:t>
            </w:r>
          </w:p>
        </w:tc>
        <w:tc>
          <w:tcPr>
            <w:tcW w:type="dxa" w:w="2541"/>
            <w:vAlign w:val="top"/>
          </w:tcPr>
          <w:p>
            <w:r>
              <w:rPr>
                <w:sz w:val="17"/>
              </w:rPr>
              <w:t>Mini-planning domain + views</w:t>
            </w:r>
          </w:p>
        </w:tc>
        <w:tc>
          <w:tcPr>
            <w:tcW w:type="dxa" w:w="2541"/>
            <w:vAlign w:val="top"/>
          </w:tcPr>
          <w:p>
            <w:r>
              <w:rPr>
                <w:sz w:val="17"/>
              </w:rPr>
              <w:t>2 slices mergeées</w:t>
            </w:r>
          </w:p>
        </w:tc>
      </w:tr>
      <w:tr>
        <w:tc>
          <w:tcPr>
            <w:tcW w:type="dxa" w:w="2541"/>
            <w:vAlign w:val="top"/>
          </w:tcPr>
          <w:p>
            <w:r>
              <w:rPr>
                <w:sz w:val="17"/>
              </w:rPr>
              <w:t>J3</w:t>
            </w:r>
          </w:p>
        </w:tc>
        <w:tc>
          <w:tcPr>
            <w:tcW w:type="dxa" w:w="2541"/>
            <w:vAlign w:val="top"/>
          </w:tcPr>
          <w:p>
            <w:r>
              <w:rPr>
                <w:sz w:val="17"/>
              </w:rPr>
              <w:t>VoiceProvider + tools lookup/create lead</w:t>
            </w:r>
          </w:p>
        </w:tc>
        <w:tc>
          <w:tcPr>
            <w:tcW w:type="dxa" w:w="2541"/>
            <w:vAlign w:val="top"/>
          </w:tcPr>
          <w:p>
            <w:r>
              <w:rPr>
                <w:sz w:val="17"/>
              </w:rPr>
              <w:t>Planning CRUD + HTMX fragments</w:t>
            </w:r>
          </w:p>
        </w:tc>
        <w:tc>
          <w:tcPr>
            <w:tcW w:type="dxa" w:w="2541"/>
            <w:vAlign w:val="top"/>
          </w:tcPr>
          <w:p>
            <w:r>
              <w:rPr>
                <w:sz w:val="17"/>
              </w:rPr>
              <w:t>Tool contract + planning merge</w:t>
            </w:r>
          </w:p>
        </w:tc>
      </w:tr>
      <w:tr>
        <w:tc>
          <w:tcPr>
            <w:tcW w:type="dxa" w:w="2541"/>
            <w:vAlign w:val="top"/>
          </w:tcPr>
          <w:p>
            <w:r>
              <w:rPr>
                <w:sz w:val="17"/>
              </w:rPr>
              <w:t>J4</w:t>
            </w:r>
          </w:p>
        </w:tc>
        <w:tc>
          <w:tcPr>
            <w:tcW w:type="dxa" w:w="2541"/>
            <w:vAlign w:val="top"/>
          </w:tcPr>
          <w:p>
            <w:r>
              <w:rPr>
                <w:sz w:val="17"/>
              </w:rPr>
              <w:t>RDV via tool + transfer configuration</w:t>
            </w:r>
          </w:p>
        </w:tc>
        <w:tc>
          <w:tcPr>
            <w:tcW w:type="dxa" w:w="2541"/>
            <w:vAlign w:val="top"/>
          </w:tcPr>
          <w:p>
            <w:r>
              <w:rPr>
                <w:sz w:val="17"/>
              </w:rPr>
              <w:t>Dashboard Today + conversations UI</w:t>
            </w:r>
          </w:p>
        </w:tc>
        <w:tc>
          <w:tcPr>
            <w:tcW w:type="dxa" w:w="2541"/>
            <w:vAlign w:val="top"/>
          </w:tcPr>
          <w:p>
            <w:r>
              <w:rPr>
                <w:sz w:val="17"/>
              </w:rPr>
              <w:t>E2E appel→RDV</w:t>
            </w:r>
          </w:p>
        </w:tc>
      </w:tr>
      <w:tr>
        <w:tc>
          <w:tcPr>
            <w:tcW w:type="dxa" w:w="2541"/>
            <w:vAlign w:val="top"/>
          </w:tcPr>
          <w:p>
            <w:r>
              <w:rPr>
                <w:sz w:val="17"/>
              </w:rPr>
              <w:t>J5</w:t>
            </w:r>
          </w:p>
        </w:tc>
        <w:tc>
          <w:tcPr>
            <w:tcW w:type="dxa" w:w="2541"/>
            <w:vAlign w:val="top"/>
          </w:tcPr>
          <w:p>
            <w:r>
              <w:rPr>
                <w:sz w:val="17"/>
              </w:rPr>
              <w:t>Intervention/status + usage metering</w:t>
            </w:r>
          </w:p>
        </w:tc>
        <w:tc>
          <w:tcPr>
            <w:tcW w:type="dxa" w:w="2541"/>
            <w:vAlign w:val="top"/>
          </w:tcPr>
          <w:p>
            <w:r>
              <w:rPr>
                <w:sz w:val="17"/>
              </w:rPr>
              <w:t>Onboarding Google Maps/site validation</w:t>
            </w:r>
          </w:p>
        </w:tc>
        <w:tc>
          <w:tcPr>
            <w:tcW w:type="dxa" w:w="2541"/>
            <w:vAlign w:val="top"/>
          </w:tcPr>
          <w:p>
            <w:r>
              <w:rPr>
                <w:sz w:val="17"/>
              </w:rPr>
              <w:t>E2E appel→statut</w:t>
            </w:r>
          </w:p>
        </w:tc>
      </w:tr>
      <w:tr>
        <w:tc>
          <w:tcPr>
            <w:tcW w:type="dxa" w:w="2541"/>
            <w:vAlign w:val="top"/>
          </w:tcPr>
          <w:p>
            <w:r>
              <w:rPr>
                <w:sz w:val="17"/>
              </w:rPr>
              <w:t>J6</w:t>
            </w:r>
          </w:p>
        </w:tc>
        <w:tc>
          <w:tcPr>
            <w:tcW w:type="dxa" w:w="2541"/>
            <w:vAlign w:val="top"/>
          </w:tcPr>
          <w:p>
            <w:r>
              <w:rPr>
                <w:sz w:val="17"/>
              </w:rPr>
              <w:t>Hardening provider/errors/tests</w:t>
            </w:r>
          </w:p>
        </w:tc>
        <w:tc>
          <w:tcPr>
            <w:tcW w:type="dxa" w:w="2541"/>
            <w:vAlign w:val="top"/>
          </w:tcPr>
          <w:p>
            <w:r>
              <w:rPr>
                <w:sz w:val="17"/>
              </w:rPr>
              <w:t>UX polish/accessibility/legal pages</w:t>
            </w:r>
          </w:p>
        </w:tc>
        <w:tc>
          <w:tcPr>
            <w:tcW w:type="dxa" w:w="2541"/>
            <w:vAlign w:val="top"/>
          </w:tcPr>
          <w:p>
            <w:r>
              <w:rPr>
                <w:sz w:val="17"/>
              </w:rPr>
              <w:t>Regression suite</w:t>
            </w:r>
          </w:p>
        </w:tc>
      </w:tr>
      <w:tr>
        <w:tc>
          <w:tcPr>
            <w:tcW w:type="dxa" w:w="2541"/>
            <w:vAlign w:val="top"/>
          </w:tcPr>
          <w:p>
            <w:r>
              <w:rPr>
                <w:sz w:val="17"/>
              </w:rPr>
              <w:t>J7</w:t>
            </w:r>
          </w:p>
        </w:tc>
        <w:tc>
          <w:tcPr>
            <w:tcW w:type="dxa" w:w="2541"/>
            <w:vAlign w:val="top"/>
          </w:tcPr>
          <w:p>
            <w:r>
              <w:rPr>
                <w:sz w:val="17"/>
              </w:rPr>
              <w:t>Smoke prod + demo scenarios</w:t>
            </w:r>
          </w:p>
        </w:tc>
        <w:tc>
          <w:tcPr>
            <w:tcW w:type="dxa" w:w="2541"/>
            <w:vAlign w:val="top"/>
          </w:tcPr>
          <w:p>
            <w:r>
              <w:rPr>
                <w:sz w:val="17"/>
              </w:rPr>
              <w:t>Landing + demo flow + SEO</w:t>
            </w:r>
          </w:p>
        </w:tc>
        <w:tc>
          <w:tcPr>
            <w:tcW w:type="dxa" w:w="2541"/>
            <w:vAlign w:val="top"/>
          </w:tcPr>
          <w:p>
            <w:r>
              <w:rPr>
                <w:sz w:val="17"/>
              </w:rPr>
              <w:t>Release candidate</w:t>
            </w:r>
          </w:p>
        </w:tc>
      </w:tr>
    </w:tbl>
    <w:p/>
    <w:p>
      <w:pPr>
        <w:pStyle w:val="Heading1"/>
      </w:pPr>
      <w:r>
        <w:t>20. Tests prioritaires</w:t>
      </w:r>
    </w:p>
    <w:p>
      <w:pPr>
        <w:pStyle w:val="ListBullet"/>
      </w:pPr>
      <w:r>
        <w:t>Deux tenants ne voient jamais les mêmes clients/véhicules.</w:t>
      </w:r>
    </w:p>
    <w:p>
      <w:pPr>
        <w:pStyle w:val="ListBullet"/>
      </w:pPr>
      <w:r>
        <w:t>Téléphone inconnu → création/qualification propre.</w:t>
      </w:r>
    </w:p>
    <w:p>
      <w:pPr>
        <w:pStyle w:val="ListBullet"/>
      </w:pPr>
      <w:r>
        <w:t>Téléphone connu → confirmation d’identité sans révéler trop de données.</w:t>
      </w:r>
    </w:p>
    <w:p>
      <w:pPr>
        <w:pStyle w:val="ListBullet"/>
      </w:pPr>
      <w:r>
        <w:t>Plaque ambiguë/mal comprise → confirmation, jamais invention.</w:t>
      </w:r>
    </w:p>
    <w:p>
      <w:pPr>
        <w:pStyle w:val="ListBullet"/>
      </w:pPr>
      <w:r>
        <w:t>Créneau devenu indisponible entre proposition et confirmation → recheck.</w:t>
      </w:r>
    </w:p>
    <w:p>
      <w:pPr>
        <w:pStyle w:val="ListBullet"/>
      </w:pPr>
      <w:r>
        <w:t>Provider agenda indisponible → message de secours + demande de rappel.</w:t>
      </w:r>
    </w:p>
    <w:p>
      <w:pPr>
        <w:pStyle w:val="ListBullet"/>
      </w:pPr>
      <w:r>
        <w:t>Client demande humain → transfert.</w:t>
      </w:r>
    </w:p>
    <w:p>
      <w:pPr>
        <w:pStyle w:val="ListBullet"/>
      </w:pPr>
      <w:r>
        <w:t>Agent ne connaît pas un tarif → ne l’invente pas.</w:t>
      </w:r>
    </w:p>
    <w:p>
      <w:pPr>
        <w:pStyle w:val="ListBullet"/>
      </w:pPr>
      <w:r>
        <w:t>Webhook dupliqué → idempotence.</w:t>
      </w:r>
    </w:p>
    <w:p>
      <w:pPr>
        <w:pStyle w:val="ListBullet"/>
      </w:pPr>
      <w:r>
        <w:t>Appel long/silence → clôture raisonnable pour limiter coût.</w:t>
      </w:r>
    </w:p>
    <w:p>
      <w:pPr>
        <w:pStyle w:val="Heading1"/>
      </w:pPr>
      <w:r>
        <w:t>21. Références techniques vérifiées</w:t>
      </w:r>
    </w:p>
    <w:p>
      <w:pPr>
        <w:pStyle w:val="ListBullet"/>
      </w:pPr>
      <w:r>
        <w:rPr>
          <w:b/>
        </w:rPr>
        <w:t xml:space="preserve">PostgreSQL 18 — </w:t>
      </w:r>
      <w:r>
        <w:t>https://www.postgresql.org/docs/18/release-18.html</w:t>
      </w:r>
    </w:p>
    <w:p>
      <w:pPr>
        <w:pStyle w:val="ListBullet"/>
      </w:pPr>
      <w:r>
        <w:rPr>
          <w:b/>
        </w:rPr>
        <w:t xml:space="preserve">htmx documentation — </w:t>
      </w:r>
      <w:r>
        <w:t>https://htmx.org/docs/</w:t>
      </w:r>
    </w:p>
    <w:p>
      <w:pPr>
        <w:pStyle w:val="ListBullet"/>
      </w:pPr>
      <w:r>
        <w:rPr>
          <w:b/>
        </w:rPr>
        <w:t xml:space="preserve">ElevenLabs webhook tools — </w:t>
      </w:r>
      <w:r>
        <w:t>https://elevenlabs.io/docs/eleven-agents/customization/tools/webhook-tools</w:t>
      </w:r>
    </w:p>
    <w:p>
      <w:pPr>
        <w:pStyle w:val="ListBullet"/>
      </w:pPr>
      <w:r>
        <w:rPr>
          <w:b/>
        </w:rPr>
        <w:t xml:space="preserve">ElevenLabs transfer to number — </w:t>
      </w:r>
      <w:r>
        <w:t>https://elevenlabs.io/docs/eleven-agents/customization/tools/system-tools/transfer-to-number</w:t>
      </w:r>
    </w:p>
    <w:p>
      <w:pPr>
        <w:pStyle w:val="ListBullet"/>
      </w:pPr>
      <w:r>
        <w:rPr>
          <w:b/>
        </w:rPr>
        <w:t xml:space="preserve">Google Places Place Details — </w:t>
      </w:r>
      <w:r>
        <w:t>https://developers.google.com/maps/documentation/places/web-service/place-details</w:t>
      </w:r>
    </w:p>
    <w:p>
      <w:pPr>
        <w:pStyle w:val="ListBullet"/>
      </w:pPr>
      <w:r>
        <w:rPr>
          <w:b/>
        </w:rPr>
        <w:t xml:space="preserve">Stripe Checkout / subscriptions — </w:t>
      </w:r>
      <w:r>
        <w:t>https://docs.stripe.com/payments/checkout</w:t>
      </w:r>
    </w:p>
    <w:p>
      <w:pPr>
        <w:pStyle w:val="ListBullet"/>
      </w:pPr>
      <w:r>
        <w:rPr>
          <w:b/>
        </w:rPr>
        <w:t xml:space="preserve">templ guide — </w:t>
      </w:r>
      <w:r>
        <w:t>https://templ.guide/</w:t>
      </w:r>
    </w:p>
    <w:p>
      <w:pPr>
        <w:pStyle w:val="ListBullet"/>
      </w:pPr>
      <w:r>
        <w:rPr>
          <w:b/>
        </w:rPr>
        <w:t xml:space="preserve">Go net/http — </w:t>
      </w:r>
      <w:r>
        <w:t>https://pkg.go.dev/net/http</w:t>
      </w:r>
    </w:p>
    <w:p>
      <w:pPr>
        <w:pStyle w:val="Heading1"/>
      </w:pPr>
      <w:r>
        <w:t>22. Directives finales aux agents</w:t>
      </w:r>
    </w:p>
    <w:tbl>
      <w:tblPr>
        <w:tblStyle w:val="TableGrid"/>
        <w:tblW w:type="auto" w:w="0"/>
        <w:tblLook w:firstColumn="1" w:firstRow="1" w:lastColumn="0" w:lastRow="0" w:noHBand="0" w:noVBand="1" w:val="04A0"/>
      </w:tblPr>
      <w:tblGrid>
        <w:gridCol w:w="10166"/>
      </w:tblGrid>
      <w:tr>
        <w:tc>
          <w:tcPr>
            <w:tcW w:type="dxa" w:w="10166"/>
            <w:shd w:fill="F4F7FA"/>
          </w:tcPr>
          <w:p>
            <w:r>
              <w:rPr>
                <w:b/>
                <w:sz w:val="20"/>
              </w:rPr>
              <w:t>North Star</w:t>
              <w:br/>
            </w:r>
            <w:r>
              <w:t>Ship un produit qu’un garage comprend en 5 minutes, peut tester par téléphone, et peut acheter. Le code doit rester compréhensible par un développeur Go seul lorsque les agents IA ne sont plus disponibles.</w:t>
            </w:r>
          </w:p>
        </w:tc>
      </w:tr>
    </w:tbl>
    <w:p/>
    <w:p>
      <w:pPr>
        <w:pStyle w:val="ListBullet"/>
      </w:pPr>
      <w:r>
        <w:t>Favoriser stdlib et fonctionnalités natives du web.</w:t>
      </w:r>
    </w:p>
    <w:p>
      <w:pPr>
        <w:pStyle w:val="ListBullet"/>
      </w:pPr>
      <w:r>
        <w:t>Le serveur est la source de vérité ; HTMX est un enrichment.</w:t>
      </w:r>
    </w:p>
    <w:p>
      <w:pPr>
        <w:pStyle w:val="ListBullet"/>
      </w:pPr>
      <w:r>
        <w:t>Préférer un monolithe clair à plusieurs services « propres ».</w:t>
      </w:r>
    </w:p>
    <w:p>
      <w:pPr>
        <w:pStyle w:val="ListBullet"/>
      </w:pPr>
      <w:r>
        <w:t>Ne pas optimiser pour 10 000 garages avant d’en avoir 2 payants.</w:t>
      </w:r>
    </w:p>
    <w:p>
      <w:pPr>
        <w:pStyle w:val="ListBullet"/>
      </w:pPr>
      <w:r>
        <w:t>Ne pas ajouter une feature parce qu’elle est techniquement intéressante.</w:t>
      </w:r>
    </w:p>
    <w:p>
      <w:pPr>
        <w:pStyle w:val="ListBullet"/>
      </w:pPr>
      <w:r>
        <w:t>Toute feature doit rapprocher de la démo, de la vente, de la fiabilité ou de la marge.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Assistant Réception Atelier IA — PRD Master V3 — 30/07/2026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b w:val="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