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r>
          <w:rPr>
            <w:rStyle w:val="Hyperlink"/>
          </w:rPr>
          <w:t>Freesound - thunder7.wav by nednednerb</w:t>
        </w:r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28440E94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F9790C">
        <w:t>.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lastRenderedPageBreak/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P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1E20E311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>Taken from open source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lastRenderedPageBreak/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>Piano Jump Scare Stinger by TheSoundFXGuy_YT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lastRenderedPageBreak/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43F87"/>
    <w:rsid w:val="002512C3"/>
    <w:rsid w:val="002558AD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42FA"/>
    <w:rsid w:val="005D6898"/>
    <w:rsid w:val="005E2980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40</cp:revision>
  <dcterms:created xsi:type="dcterms:W3CDTF">2024-11-08T23:54:00Z</dcterms:created>
  <dcterms:modified xsi:type="dcterms:W3CDTF">2024-11-09T11:05:00Z</dcterms:modified>
</cp:coreProperties>
</file>