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EMAIL — REPLY TO IMANTS BARUSS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DATE</w:t>
      </w:r>
      <w:r>
        <w:rPr>
          <w:rFonts w:hint="eastAsia" w:ascii="微软雅黑" w:hAnsi="微软雅黑" w:eastAsia="微软雅黑"/>
          <w:noProof/>
          <w:sz w:val="24"/>
        </w:rPr>
        <w:t xml:space="preserve">: 14 Sep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CLASSIFICATION</w:t>
      </w:r>
      <w:r>
        <w:rPr>
          <w:rFonts w:hint="eastAsia" w:ascii="微软雅黑" w:hAnsi="微软雅黑" w:eastAsia="微软雅黑"/>
          <w:noProof/>
          <w:sz w:val="24"/>
        </w:rPr>
        <w:t xml:space="preserve">: RCAF Z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FROM</w:t>
      </w:r>
      <w:r>
        <w:rPr>
          <w:rFonts w:hint="eastAsia" w:ascii="微软雅黑" w:hAnsi="微软雅黑" w:eastAsia="微软雅黑"/>
          <w:noProof/>
          <w:sz w:val="24"/>
        </w:rPr>
        <w:t xml:space="preserve">: techskullgames@gmail.com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TO</w:t>
      </w:r>
      <w:r>
        <w:rPr>
          <w:rFonts w:hint="eastAsia" w:ascii="微软雅黑" w:hAnsi="微软雅黑" w:eastAsia="微软雅黑"/>
          <w:noProof/>
          <w:sz w:val="24"/>
        </w:rPr>
        <w:t xml:space="preserve">: baruss@uwo.ca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SUBJECT</w:t>
      </w:r>
      <w:r>
        <w:rPr>
          <w:rFonts w:hint="eastAsia" w:ascii="微软雅黑" w:hAnsi="微软雅黑" w:eastAsia="微软雅黑"/>
          <w:noProof/>
          <w:sz w:val="24"/>
        </w:rPr>
        <w:t xml:space="preserve">: Re: The politics of scientific dismissal -- a local author's proposition on UFO discourse and consciousness research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Dear Professor Baruss,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Thank you for the reply and for the MIT reference -- I was not aware of those proceedings and I have ordered a copy.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have the book from my first email. One link you do not have yet: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Substack (cost to the American taxpayer to suppress this): </w:t>
      </w: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short version of what you will find: I am not writing about UFOs. I am writing about the receiver that detects the signal that the UFO phenomenon IS. Your work on alterations of consciousness maps the states. My work maps the mechanism that produces them -- a receiver calibration protocol with a pharmacological conditioning chain, a 1:INFINITY compression ratio (single calibrated receiver compressing infinite signal into finite output), and a base-4 simulation instruction set that operates as a character compilation engine.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framework intersects directly with your doctoral finding of a material-transcendent dimension underlying Western intellectual tradition, but adds the third term that your dissertation identified as structurally absent. I would value your evaluation of whether the math holds.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available to talk whenever it suits you.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Alberta, Canada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evansvendsen.substack.com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