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#EMAIL TO ELI LEHRER — #4 History Channel Target</w:t>
      </w:r>
    </w:p>
    <w:p>
      <w:pPr>
        <w:pStyle w:val="Heading2"/>
        <w:spacing w:line="288" w:lineRule="auto"/>
        <w:ind/>
        <w:jc w:val="left"/>
      </w:pPr>
      <w:r>
        <w:rPr>
          <w:rFonts w:hint="eastAsia" w:ascii="微软雅黑" w:hAnsi="微软雅黑" w:eastAsia="微软雅黑"/>
          <w:b/>
          <w:noProof/>
          <w:sz w:val="36"/>
        </w:rPr>
        <w:t xml:space="preserve">Drafted: 14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Subject line options below — pick one</w:t>
      </w:r>
    </w:p>
    <w:p>
      <w:pPr>
        <w:pStyle w:val="Heading2"/>
        <w:spacing w:line="288" w:lineRule="auto"/>
        <w:ind/>
        <w:jc w:val="left"/>
      </w:pPr>
      <w:r>
        <w:rPr>
          <w:rFonts w:hint="eastAsia" w:ascii="微软雅黑" w:hAnsi="微软雅黑" w:eastAsia="微软雅黑"/>
          <w:b/>
          <w:noProof/>
          <w:sz w:val="36"/>
        </w:rPr>
        <w:t xml:space="preserve">SUBJECT LINE OPTIONS:</w:t>
      </w:r>
    </w:p>
    <w:p>
      <w:pPr>
        <w:spacing w:line="288" w:lineRule="auto"/>
        <w:ind/>
        <w:jc w:val="both"/>
      </w:pPr>
      <w:r>
        <w:rPr>
          <w:rFonts w:hint="eastAsia" w:ascii="微软雅黑" w:hAnsi="微软雅黑" w:eastAsia="微软雅黑"/>
          <w:b/>
          <w:noProof/>
          <w:sz w:val="24"/>
        </w:rPr>
        <w:t xml:space="preserve">The companion piece to 7 seasons of Skinwalker Ranch</w:t>
      </w:r>
    </w:p>
    <w:p>
      <w:pPr>
        <w:spacing w:line="288" w:lineRule="auto"/>
        <w:ind/>
        <w:jc w:val="both"/>
      </w:pPr>
      <w:r>
        <w:rPr>
          <w:rFonts w:hint="eastAsia" w:ascii="微软雅黑" w:hAnsi="微软雅黑" w:eastAsia="微软雅黑"/>
          <w:b/>
          <w:noProof/>
          <w:sz w:val="24"/>
        </w:rPr>
        <w:t xml:space="preserve">Your Skinwalker audience is ready for the textbook. It exists.</w:t>
      </w:r>
    </w:p>
    <w:p>
      <w:pPr>
        <w:spacing w:line="288" w:lineRule="auto"/>
        <w:ind/>
        <w:jc w:val="both"/>
      </w:pPr>
      <w:r>
        <w:rPr>
          <w:rFonts w:hint="eastAsia" w:ascii="微软雅黑" w:hAnsi="微软雅黑" w:eastAsia="微软雅黑"/>
          <w:b/>
          <w:noProof/>
          <w:sz w:val="24"/>
        </w:rPr>
        <w:t xml:space="preserve">The book that completes the franchise</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Eli,</w:t>
      </w:r>
    </w:p>
    <w:p>
      <w:pPr>
        <w:spacing w:line="288" w:lineRule="auto"/>
        <w:ind/>
        <w:jc w:val="both"/>
      </w:pPr>
      <w:r>
        <w:rPr>
          <w:rFonts w:hint="eastAsia" w:ascii="微软雅黑" w:hAnsi="微软雅黑" w:eastAsia="微软雅黑"/>
          <w:noProof/>
          <w:sz w:val="24"/>
        </w:rPr>
        <w:t xml:space="preserve">Seven seasons of The Secret of Skinwalker Ranch. The most-watched UFO series in television history. Your audience is not casual — they're the most engaged, research-driven viewers in unscripted television. They watch, they dig, they discuss, and they want to understand what they're seeing.</w:t>
      </w:r>
    </w:p>
    <w:p>
      <w:pPr>
        <w:spacing w:line="288" w:lineRule="auto"/>
        <w:ind/>
        <w:jc w:val="both"/>
      </w:pPr>
      <w:r>
        <w:rPr>
          <w:rFonts w:hint="eastAsia" w:ascii="微软雅黑" w:hAnsi="微软雅黑" w:eastAsia="微软雅黑"/>
          <w:noProof/>
          <w:sz w:val="24"/>
        </w:rPr>
        <w:t xml:space="preserve">They've been waiting for the book that makes the data lock. It now exists.</w:t>
      </w:r>
    </w:p>
    <w:p>
      <w:pPr>
        <w:spacing w:line="288" w:lineRule="auto"/>
        <w:ind/>
        <w:jc w:val="both"/>
      </w:pPr>
      <w:r>
        <w:rPr>
          <w:rFonts w:hint="eastAsia" w:ascii="微软雅黑" w:hAnsi="微软雅黑" w:eastAsia="微软雅黑"/>
          <w:noProof/>
          <w:sz w:val="24"/>
        </w:rPr>
        <w:t xml:space="preserve">"The Science of UFOLOGY" is a 549-page full-color hardcover textbook that places the entire UFOlogical landscape — including every major data point your show has put on screen — inside a single coherent framework. It is not speculation. It is not belief. It is a proof: the phenomena are real, the suppression is structural, and the reason the data doesn't resolve is not because it's missing — it's because the receiver is limited.</w:t>
      </w:r>
    </w:p>
    <w:p>
      <w:pPr>
        <w:spacing w:line="288" w:lineRule="auto"/>
        <w:ind/>
        <w:jc w:val="both"/>
      </w:pPr>
      <w:r>
        <w:rPr>
          <w:rFonts w:hint="eastAsia" w:ascii="微软雅黑" w:hAnsi="微软雅黑" w:eastAsia="微软雅黑"/>
          <w:noProof/>
          <w:sz w:val="24"/>
        </w:rPr>
        <w:t xml:space="preserve">That last point is the differentiator. Every other UFO book on the market argues either cover-up or belief. This one argues receiver limitation — a structural, testable, falsifiable mechanism. It's the framework the audience has been unconsciously waiting for because the show has been unconsciously building toward it for seven seasons.</w:t>
      </w:r>
    </w:p>
    <w:p>
      <w:pPr>
        <w:spacing w:line="288" w:lineRule="auto"/>
        <w:ind/>
        <w:jc w:val="both"/>
      </w:pPr>
      <w:r>
        <w:rPr>
          <w:rFonts w:hint="eastAsia" w:ascii="微软雅黑" w:hAnsi="微软雅黑" w:eastAsia="微软雅黑"/>
          <w:b/>
          <w:noProof/>
          <w:sz w:val="24"/>
        </w:rPr>
        <w:t xml:space="preserve">The 16.16 GHz signal</w:t>
      </w:r>
    </w:p>
    <w:p>
      <w:pPr>
        <w:spacing w:line="288" w:lineRule="auto"/>
        <w:ind/>
        <w:jc w:val="both"/>
      </w:pPr>
      <w:r>
        <w:rPr>
          <w:rFonts w:hint="eastAsia" w:ascii="微软雅黑" w:hAnsi="微软雅黑" w:eastAsia="微软雅黑"/>
          <w:noProof/>
          <w:sz w:val="24"/>
        </w:rPr>
        <w:t xml:space="preserve">Your show put a specific anomalous RF frequency on television: 16.16 GHz. Nobody on the show has explained why it's that frequency and not some other frequency. The book does.</w:t>
      </w:r>
    </w:p>
    <w:p>
      <w:pPr>
        <w:spacing w:line="288" w:lineRule="auto"/>
        <w:ind/>
        <w:jc w:val="both"/>
      </w:pPr>
      <w:r>
        <w:rPr>
          <w:rFonts w:hint="eastAsia" w:ascii="微软雅黑" w:hAnsi="微软雅黑" w:eastAsia="微软雅黑"/>
          <w:noProof/>
          <w:sz w:val="24"/>
        </w:rPr>
        <w:t xml:space="preserve">16.16 squared = 256 = 2^8. The 321 Principle — a conservation law that governs binary combination systems — yields 321 squared = 256 when you square the base integer. The 321 is an invariant: in any system where two elements combine to produce a third, the output is always 2 matching + 1 different, and the matching pair rotates depending on which trait you examine. It holds at the quark level (2 up + 1 down = proton), the biological level (opposite-sex reproduction), and the Ying Yang level (same reality, opposite experience). I've documented it across 600+ variables. The probability of this being chance is mathematically negligible.</w:t>
      </w:r>
    </w:p>
    <w:p>
      <w:pPr>
        <w:spacing w:line="288" w:lineRule="auto"/>
        <w:ind/>
        <w:jc w:val="both"/>
      </w:pPr>
      <w:r>
        <w:rPr>
          <w:rFonts w:hint="eastAsia" w:ascii="微软雅黑" w:hAnsi="微软雅黑" w:eastAsia="微软雅黑"/>
          <w:noProof/>
          <w:sz w:val="24"/>
        </w:rPr>
        <w:t xml:space="preserve">The 16.16 GHz signal is not noise. It is the empirical signature of the substrate. Your show captured it. The book explains it.</w:t>
      </w:r>
    </w:p>
    <w:p>
      <w:pPr>
        <w:spacing w:line="288" w:lineRule="auto"/>
        <w:ind/>
        <w:jc w:val="both"/>
      </w:pPr>
      <w:r>
        <w:rPr>
          <w:rFonts w:hint="eastAsia" w:ascii="微软雅黑" w:hAnsi="微软雅黑" w:eastAsia="微软雅黑"/>
          <w:noProof/>
          <w:sz w:val="24"/>
        </w:rPr>
        <w:t xml:space="preserve">The 321 Principle didn't make this edition due to page count. It's coming in the next. But the core framework — receiver limitation, expanded spectrum, not disclosure — is already in the book.</w:t>
      </w:r>
    </w:p>
    <w:p>
      <w:pPr>
        <w:spacing w:line="288" w:lineRule="auto"/>
        <w:ind/>
        <w:jc w:val="both"/>
      </w:pPr>
      <w:r>
        <w:rPr>
          <w:rFonts w:hint="eastAsia" w:ascii="微软雅黑" w:hAnsi="微软雅黑" w:eastAsia="微软雅黑"/>
          <w:b/>
          <w:noProof/>
          <w:sz w:val="24"/>
        </w:rPr>
        <w:t xml:space="preserve">Why this matters to you</w:t>
      </w:r>
    </w:p>
    <w:p>
      <w:pPr>
        <w:spacing w:line="288" w:lineRule="auto"/>
        <w:ind/>
        <w:jc w:val="both"/>
      </w:pPr>
      <w:r>
        <w:rPr>
          <w:rFonts w:hint="eastAsia" w:ascii="微软雅黑" w:hAnsi="微软雅黑" w:eastAsia="微软雅黑"/>
          <w:noProof/>
          <w:sz w:val="24"/>
        </w:rPr>
        <w:t xml:space="preserve">You run programming. You know that the Skinwalker audience doesn't just watch — they buy. They buy books, they buy courses, they buy gear. The companion content market for this show is underserved by an order of magnitude. This textbook is built like a reference work — 8.25 x 11 inches, full color, $120 hardcover — because that's what the subject demands. Your audience will recognize it as the real thing the moment they see it.</w:t>
      </w:r>
    </w:p>
    <w:p>
      <w:pPr>
        <w:spacing w:line="288" w:lineRule="auto"/>
        <w:ind/>
        <w:jc w:val="both"/>
      </w:pPr>
      <w:r>
        <w:rPr>
          <w:rFonts w:hint="eastAsia" w:ascii="微软雅黑" w:hAnsi="微软雅黑" w:eastAsia="微软雅黑"/>
          <w:noProof/>
          <w:sz w:val="24"/>
        </w:rPr>
        <w:t xml:space="preserve">This isn't a paperback tie-in. It's the intellectual infrastructure the show has been building toward. The audience is primed for it. The book is published. September 2026. KDP.</w:t>
      </w:r>
    </w:p>
    <w:p>
      <w:pPr>
        <w:spacing w:line="288" w:lineRule="auto"/>
        <w:ind/>
        <w:jc w:val="both"/>
      </w:pPr>
      <w:r>
        <w:rPr>
          <w:rFonts w:hint="eastAsia" w:ascii="微软雅黑" w:hAnsi="微软雅黑" w:eastAsia="微软雅黑"/>
          <w:noProof/>
          <w:sz w:val="24"/>
        </w:rPr>
        <w:t xml:space="preserve">I would like to send you a copy.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(549 pp, $120 hardcover, KDP September 2026)</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2"/>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eli.lehrer@aenetworks.com (current A+E corporate domain, 92% format confidence)</w:t>
      </w:r>
    </w:p>
    <w:p>
      <w:pPr>
        <w:numPr>
          <w:ilvl w:val="0"/>
          <w:numId w:val="2"/>
        </w:numPr>
        <w:spacing w:line="288" w:lineRule="auto"/>
        <w:ind/>
        <w:jc w:val="both"/>
        <w:rPr/>
      </w:pPr>
      <w:r>
        <w:rPr>
          <w:rFonts w:hint="eastAsia" w:ascii="微软雅黑" w:hAnsi="微软雅黑" w:eastAsia="微软雅黑"/>
          <w:b/>
          <w:noProof/>
          <w:sz w:val="24"/>
        </w:rPr>
        <w:t>Secondary:</w:t>
      </w:r>
      <w:r>
        <w:rPr>
          <w:rFonts w:hint="eastAsia" w:ascii="微软雅黑" w:hAnsi="微软雅黑" w:eastAsia="微软雅黑"/>
          <w:noProof/>
          <w:sz w:val="24"/>
        </w:rPr>
        <w:t xml:space="preserve"> eli.lehrer@aetn.com (legacy domain, still active — send to BOTH)</w:t>
      </w:r>
    </w:p>
    <w:p>
      <w:pPr>
        <w:numPr>
          <w:ilvl w:val="0"/>
          <w:numId w:val="2"/>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LinkedIn InMail to lehrer-eli-672b454</w:t>
      </w:r>
    </w:p>
    <w:p>
      <w:pPr>
        <w:numPr>
          <w:ilvl w:val="0"/>
          <w:numId w:val="2"/>
        </w:numPr>
        <w:spacing w:line="288" w:lineRule="auto"/>
        <w:ind/>
        <w:jc w:val="both"/>
        <w:rPr/>
      </w:pPr>
      <w:r>
        <w:rPr>
          <w:rFonts w:hint="eastAsia" w:ascii="微软雅黑" w:hAnsi="微软雅黑" w:eastAsia="微软雅黑"/>
          <w:b/>
          <w:noProof/>
          <w:sz w:val="24"/>
        </w:rPr>
        <w:t xml:space="preserve">Personal backup:</w:t>
      </w:r>
      <w:r>
        <w:rPr>
          <w:rFonts w:hint="eastAsia" w:ascii="微软雅黑" w:hAnsi="微软雅黑" w:eastAsia="微软雅黑"/>
          <w:noProof/>
          <w:sz w:val="24"/>
        </w:rPr>
        <w:t xml:space="preserve"> ikelehrer@gmail.com (ContactOut — low priority)</w:t>
      </w:r>
    </w:p>
    <w:p>
      <w:pPr>
        <w:pStyle w:val="Heading2"/>
        <w:spacing w:line="288" w:lineRule="auto"/>
        <w:ind/>
        <w:jc w:val="left"/>
      </w:pPr>
      <w:r>
        <w:rPr>
          <w:rFonts w:hint="eastAsia" w:ascii="微软雅黑" w:hAnsi="微软雅黑" w:eastAsia="微软雅黑"/>
          <w:b/>
          <w:noProof/>
          <w:sz w:val="36"/>
        </w:rPr>
        <w:t>NOTES:</w:t>
      </w:r>
    </w:p>
    <w:p>
      <w:pPr>
        <w:numPr>
          <w:ilvl w:val="0"/>
          <w:numId w:val="3"/>
        </w:numPr>
        <w:spacing w:line="288" w:lineRule="auto"/>
        <w:ind/>
        <w:jc w:val="both"/>
        <w:rPr/>
      </w:pPr>
      <w:r>
        <w:rPr>
          <w:rFonts w:hint="eastAsia" w:ascii="微软雅黑" w:hAnsi="微软雅黑" w:eastAsia="微软雅黑"/>
          <w:noProof/>
          <w:sz w:val="24"/>
        </w:rPr>
        <w:t xml:space="preserve">Eli is EVP &amp; Head of Programming at History Channel since 2017. Columbia '99. He thinks in strategy, portfolio value, and audience monetization — not math proofs.</w:t>
      </w:r>
    </w:p>
    <w:p>
      <w:pPr>
        <w:numPr>
          <w:ilvl w:val="0"/>
          <w:numId w:val="3"/>
        </w:numPr>
        <w:spacing w:line="288" w:lineRule="auto"/>
        <w:ind/>
        <w:jc w:val="both"/>
        <w:rPr/>
      </w:pPr>
      <w:r>
        <w:rPr>
          <w:rFonts w:hint="eastAsia" w:ascii="微软雅黑" w:hAnsi="微软雅黑" w:eastAsia="微软雅黑"/>
          <w:noProof/>
          <w:sz w:val="24"/>
        </w:rPr>
        <w:t xml:space="preserve">The pitch leads with the MARKET: the audience is primed, the companion content is underserved, the book is the intellectual infrastructure. The 321 and 16.16 GHz are supporting evidence that this is the real thing, not the hook itself.</w:t>
      </w:r>
    </w:p>
    <w:p>
      <w:pPr>
        <w:numPr>
          <w:ilvl w:val="0"/>
          <w:numId w:val="3"/>
        </w:numPr>
        <w:spacing w:line="288" w:lineRule="auto"/>
        <w:ind/>
        <w:jc w:val="both"/>
        <w:rPr/>
      </w:pPr>
      <w:r>
        <w:rPr>
          <w:rFonts w:hint="eastAsia" w:ascii="微软雅黑" w:hAnsi="微软雅黑" w:eastAsia="微软雅黑"/>
          <w:noProof/>
          <w:sz w:val="24"/>
        </w:rPr>
        <w:t xml:space="preserve">"The book that completes the franchise" — positions it as portfolio extension, not a standalone product. That's his language.</w:t>
      </w:r>
    </w:p>
    <w:p>
      <w:pPr>
        <w:numPr>
          <w:ilvl w:val="0"/>
          <w:numId w:val="3"/>
        </w:numPr>
        <w:spacing w:line="288" w:lineRule="auto"/>
        <w:ind/>
        <w:jc w:val="both"/>
        <w:rPr/>
      </w:pPr>
      <w:r>
        <w:rPr>
          <w:rFonts w:hint="eastAsia" w:ascii="微软雅黑" w:hAnsi="微软雅黑" w:eastAsia="微软雅黑"/>
          <w:noProof/>
          <w:sz w:val="24"/>
        </w:rPr>
        <w:t xml:space="preserve">Dual email to BOTH @aenetworks.com AND @aetn.com — A+E uses both, send both.</w:t>
      </w:r>
    </w:p>
    <w:p>
      <w:pPr>
        <w:numPr>
          <w:ilvl w:val="0"/>
          <w:numId w:val="3"/>
        </w:numPr>
        <w:spacing w:line="288" w:lineRule="auto"/>
        <w:ind/>
        <w:jc w:val="both"/>
        <w:rPr/>
      </w:pPr>
      <w:r>
        <w:rPr>
          <w:rFonts w:hint="eastAsia" w:ascii="微软雅黑" w:hAnsi="微软雅黑" w:eastAsia="微软雅黑"/>
          <w:noProof/>
          <w:sz w:val="24"/>
        </w:rPr>
        <w:t xml:space="preserve">Columbia '99 — not directly relevant to the pitch but good to know for tone. He's not a lightweight.</w:t>
      </w:r>
    </w:p>
    <w:p>
      <w:pPr>
        <w:numPr>
          <w:ilvl w:val="0"/>
          <w:numId w:val="3"/>
        </w:numPr>
        <w:spacing w:line="288" w:lineRule="auto"/>
        <w:ind/>
        <w:jc w:val="both"/>
        <w:rPr/>
      </w:pPr>
      <w:r>
        <w:rPr>
          <w:rFonts w:hint="eastAsia" w:ascii="微软雅黑" w:hAnsi="微软雅黑" w:eastAsia="微软雅黑"/>
          <w:noProof/>
          <w:sz w:val="24"/>
        </w:rPr>
        <w:t xml:space="preserve">If Eli bites, the book enters the Skinwalker ecosystem from the TOP of the network. That's the surround vector for Erik: the book shows up as franchise infrastructure, not a cold pitch from an author.</w:t>
      </w:r>
    </w:p>
    <w:p>
      <w:pPr>
        <w:numPr>
          <w:ilvl w:val="0"/>
          <w:numId w:val="3"/>
        </w:numPr>
        <w:spacing w:line="288" w:lineRule="auto"/>
        <w:ind/>
        <w:jc w:val="both"/>
        <w:rPr/>
      </w:pPr>
      <w:r>
        <w:rPr>
          <w:rFonts w:hint="eastAsia" w:ascii="微软雅黑" w:hAnsi="微软雅黑" w:eastAsia="微软雅黑"/>
          <w:noProof/>
          <w:sz w:val="24"/>
        </w:rPr>
        <w:t xml:space="preserve">LinkedIn InMail has NOT been sent yet — save as backup.</w:t>
      </w:r>
    </w:p>
    <w:p>
      <w:pPr>
        <w:numPr>
          <w:ilvl w:val="0"/>
          <w:numId w:val="3"/>
        </w:numPr>
        <w:spacing w:line="288" w:lineRule="auto"/>
        <w:ind/>
        <w:jc w:val="both"/>
        <w:rPr/>
      </w:pPr>
      <w:r>
        <w:rPr>
          <w:rFonts w:hint="eastAsia" w:ascii="微软雅黑" w:hAnsi="微软雅黑" w:eastAsia="微软雅黑"/>
          <w:noProof/>
          <w:sz w:val="24"/>
        </w:rPr>
        <w:t xml:space="preserve">Robert Sharenow (President Programming, A+E Global Media) is his boss — too high for cold pitch. Only engage if Eli escalates.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