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EX555 Outreach -- Tier 1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David McGuinty, Minister of National Defence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To:</w:t>
      </w:r>
      <w:r>
        <w:rPr>
          <w:rFonts w:hint="eastAsia" w:ascii="微软雅黑" w:hAnsi="微软雅黑" w:eastAsia="微软雅黑"/>
          <w:noProof/>
          <w:sz w:val="24"/>
        </w:rPr>
        <w:t xml:space="preserve"> Office of the Minister of National Defence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From:</w:t>
      </w:r>
      <w:r>
        <w:rPr>
          <w:rFonts w:hint="eastAsia" w:ascii="微软雅黑" w:hAnsi="微软雅黑" w:eastAsia="微软雅黑"/>
          <w:noProof/>
          <w:sz w:val="24"/>
        </w:rPr>
        <w:t xml:space="preserve"> Evan Svendsen, Didsbury,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Date:</w:t>
      </w:r>
      <w:r>
        <w:rPr>
          <w:rFonts w:hint="eastAsia" w:ascii="微软雅黑" w:hAnsi="微软雅黑" w:eastAsia="微软雅黑"/>
          <w:noProof/>
          <w:sz w:val="24"/>
        </w:rPr>
        <w:t xml:space="preserve"> September 15, 2026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Subject:</w:t>
      </w:r>
      <w:r>
        <w:rPr>
          <w:rFonts w:hint="eastAsia" w:ascii="微软雅黑" w:hAnsi="微软雅黑" w:eastAsia="微软雅黑"/>
          <w:noProof/>
          <w:sz w:val="24"/>
        </w:rPr>
        <w:t xml:space="preserve"> EX555 -- Receiver Calibration for Canada's Defence Output Architecture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Classification:</w:t>
      </w:r>
      <w:r>
        <w:rPr>
          <w:rFonts w:hint="eastAsia" w:ascii="微软雅黑" w:hAnsi="微软雅黑" w:eastAsia="微软雅黑"/>
          <w:noProof/>
          <w:sz w:val="24"/>
        </w:rPr>
        <w:t xml:space="preserve"> RCAF Z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Minister McGuinty,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Canada's Defence Industrial Strategy commits </w:t>
      </w:r>
      <m:oMath>
        <m:r>
          <m:t>6.6billionoverfiveyearstobuilding,partnering,andbuyingdefencecapabilities.TheCanadaSovereignSystemsCentrereceives</m:t>
        </m:r>
      </m:oMath>
      <w:r>
        <w:rPr>
          <w:rFonts w:hint="eastAsia" w:ascii="微软雅黑" w:hAnsi="微软雅黑" w:eastAsia="微软雅黑"/>
          <w:noProof/>
          <w:sz w:val="24"/>
        </w:rPr>
        <w:t xml:space="preserve">591 million for dual-use and defence technology. Telesat's </w:t>
      </w:r>
      <m:oMath>
        <m:r>
          <m:t>7.2billionLEOconstellationwillprovideISRdatatoCanadianForces.Wyvern's</m:t>
        </m:r>
      </m:oMath>
      <w:r>
        <w:rPr>
          <w:rFonts w:hint="eastAsia" w:ascii="微软雅黑" w:hAnsi="微软雅黑" w:eastAsia="微软雅黑"/>
          <w:noProof/>
          <w:sz w:val="24"/>
        </w:rPr>
        <w:t xml:space="preserve">230 million ISR system will deliver hyperspectral intelligence.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These investments share a structural challenge: they will produce outputs at a volume and complexity that exceeds the Canadian Forces' analytical and receiving capacity. Some outputs will be anomalous -- they will not match any known threat profile, signal type, or classification category.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Sky Canada Project (July 2025) identified this gap for one category: Unidentified Aerial Phenomena. Chief Science Advisor Mona Nemer recommended a dedicated federal UAP reporting body. The recommendation has been dormant for over a year. No action has been taken.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From a defence perspective, the UAP gap is an intelligence gap. Objects or phenomena in Canadian airspace that cannot be classified are, by definition, unaccounted threats. The absence of a receiving framework means the absence of intelligence.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EX555 provides the receiving architecture.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EX555 is a five-stage receiver calibration protocol: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RECEIVE:</w:t>
      </w:r>
      <w:r>
        <w:rPr>
          <w:rFonts w:hint="eastAsia" w:ascii="微软雅黑" w:hAnsi="微软雅黑" w:eastAsia="微软雅黑"/>
          <w:noProof/>
          <w:sz w:val="24"/>
        </w:rPr>
        <w:t xml:space="preserve"> Capture raw intelligence outputs without pre-classification filtering.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REGISTER:</w:t>
      </w:r>
      <w:r>
        <w:rPr>
          <w:rFonts w:hint="eastAsia" w:ascii="微软雅黑" w:hAnsi="微软雅黑" w:eastAsia="微软雅黑"/>
          <w:noProof/>
          <w:sz w:val="24"/>
        </w:rPr>
        <w:t xml:space="preserve"> Assign each output a persistent address in a sovereign database.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BIND:</w:t>
      </w:r>
      <w:r>
        <w:rPr>
          <w:rFonts w:hint="eastAsia" w:ascii="微软雅黑" w:hAnsi="微软雅黑" w:eastAsia="微软雅黑"/>
          <w:noProof/>
          <w:sz w:val="24"/>
        </w:rPr>
        <w:t xml:space="preserve"> Cross-reference outputs across ISR, NORAD, CSA, and allied systems.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CALIBRATE:</w:t>
      </w:r>
      <w:r>
        <w:rPr>
          <w:rFonts w:hint="eastAsia" w:ascii="微软雅黑" w:hAnsi="微软雅黑" w:eastAsia="微软雅黑"/>
          <w:noProof/>
          <w:sz w:val="24"/>
        </w:rPr>
        <w:t xml:space="preserve"> Assess signal fidelity against known threat profiles. Flag anomalous outputs.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COMPILE:</w:t>
      </w:r>
      <w:r>
        <w:rPr>
          <w:rFonts w:hint="eastAsia" w:ascii="微软雅黑" w:hAnsi="微软雅黑" w:eastAsia="微软雅黑"/>
          <w:noProof/>
          <w:sz w:val="24"/>
        </w:rPr>
        <w:t xml:space="preserve"> Generate structured intelligence products for operational decision-making.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This protocol applies to UAP, ISR anomalies, quantum-assisted intelligence products, and AI-generated operational analysis alike. It is technology-agnostic and open-source.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The NATO alignment:</w:t>
      </w:r>
      <w:r>
        <w:rPr>
          <w:rFonts w:hint="eastAsia" w:ascii="微软雅黑" w:hAnsi="微软雅黑" w:eastAsia="微软雅黑"/>
          <w:noProof/>
          <w:sz w:val="24"/>
        </w:rPr>
        <w:t xml:space="preserve"> The SRSR committee's dual-use study explicitly framed defence research as a component of NATO spending targets. EX555's receiver calibration protocol ensures that Canadian defence research outputs are translated into NATO-interoperable intelligence products without loss of signal fidelity.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What I am asking: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That your office evaluate EX555 as a receiving capability for Canada's defence output architecture.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That the UAP reporting gap be addressed as a national security priority with a framework (EX555) ready for implementation.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That the Defence Industrial Strategy's new Science and Research Defence Advisory Council consider EX555 as part of its mandate.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Three links: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EX555 Canadian Sovereign Receiver Calibration Framework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Sky Canada Project Final Report (Chief Science Advisor, July 2025)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SRSR Committee Study: Canada's Dual Use and Defence Research Needs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 am available to brief your office at any time.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Respectfully,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Svendsen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Didsbury,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EX555 // CANADIAN SOVEREIGN RECEIVER CALIBRATION FRAMEWORK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