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EX555 Outreach -- Tier 1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Melanie Joly, Minister of Industry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To:</w:t>
      </w:r>
      <w:r>
        <w:rPr>
          <w:rFonts w:hint="eastAsia" w:ascii="微软雅黑" w:hAnsi="微软雅黑" w:eastAsia="微软雅黑"/>
          <w:noProof/>
          <w:sz w:val="24"/>
        </w:rPr>
        <w:t xml:space="preserve"> Office of the Minister of Industry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From:</w:t>
      </w:r>
      <w:r>
        <w:rPr>
          <w:rFonts w:hint="eastAsia" w:ascii="微软雅黑" w:hAnsi="微软雅黑" w:eastAsia="微软雅黑"/>
          <w:noProof/>
          <w:sz w:val="24"/>
        </w:rPr>
        <w:t xml:space="preserve"> Evan Svendsen, 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Date:</w:t>
      </w:r>
      <w:r>
        <w:rPr>
          <w:rFonts w:hint="eastAsia" w:ascii="微软雅黑" w:hAnsi="微软雅黑" w:eastAsia="微软雅黑"/>
          <w:noProof/>
          <w:sz w:val="24"/>
        </w:rPr>
        <w:t xml:space="preserve"> September 15,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Subject:</w:t>
      </w:r>
      <w:r>
        <w:rPr>
          <w:rFonts w:hint="eastAsia" w:ascii="微软雅黑" w:hAnsi="微软雅黑" w:eastAsia="微软雅黑"/>
          <w:noProof/>
          <w:sz w:val="24"/>
        </w:rPr>
        <w:t xml:space="preserve"> EX555 -- Receiving Infrastructure for Canada's Frontier Technology Industrial Strategy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Classification:</w:t>
      </w:r>
      <w:r>
        <w:rPr>
          <w:rFonts w:hint="eastAsia" w:ascii="微软雅黑" w:hAnsi="微软雅黑" w:eastAsia="微软雅黑"/>
          <w:noProof/>
          <w:sz w:val="24"/>
        </w:rPr>
        <w:t xml:space="preserve"> RCAF Z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Minister Joly,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Canada Investment Summit (September 14-15, Toronto) has mobilized over $100 billion in frontier technology investment across 167 projects. The Investment Canada Act now subjects AI, defence, and critical minerals acquisitions to enhanced scrutiny. The Productivity Super-Deduction incentivizes private investment in Canadian technology.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These policies share a structural assumption: that the outputs of the technology investments they support will be receivable by existing government and industrial frameworks.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assumption is not safe.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Frontier technology -- AI, quantum, space, ISR, dual-use -- produces outputs that do not fit existing classification, verification, or decision-making categories. The $14.5B Alberta Data Centre Cluster will produce AI compute outputs at a scale that no government system is designed to receive. The $7.2B Telesat constellation will produce ISR data volumes that exceed human analytical capacity. The $591M Canada Sovereign Systems Centre will produce dual-use outputs that straddle civilian and military classification regimes.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EX555 is the receiving infrastructure that ensures these investments produce calibrated, sovereign outputs.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EX555 is a five-stage receiver calibration protocol (Receive, Register, Bind, Calibrate, Compile) that provides the interpretive layer between frontier technology transmitters and government/industrial receivers. It is: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Technology-agnostic: applies to AI, quantum, space, ISR, and dual-use outputs alike.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Open-source: available for government and industry implementation without licensing barriers.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Canadian-developed: built in Alberta, aligned with the sovereign technology agenda.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The industrial strategy argument: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Investment Canada Act's net benefit review for AI and defence acquisitions should include an assessment of whether the acquirer preserves Canadian receiving capacity. If a foreign entity acquires a Canadian AI or defence company, and Canada has no framework for receiving the outputs of that company's technology, the net benefit calculation is incomplete.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EX555 provides the standard for that assessment.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Three links: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EX555 Canadian Sovereign Receiver Calibration Framework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Canada Investment Summit Prospectus (167 projects requiring receiving infrastructure)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Investment Canada Act enhanced scrutiny provisions for AI/defence/critical minerals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am available to brief your office at any time.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Respectfully,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EX555 // CANADIAN SOVEREIGN RECEIVER CALIBRATION FRAMEWORK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