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EX555 Outreach -- Tier 1</w:t>
      </w:r>
    </w:p>
    <w:p>
      <w:pPr>
        <w:pStyle w:val="Heading2"/>
        <w:spacing w:line="288" w:lineRule="auto"/>
        <w:ind/>
        <w:jc w:val="left"/>
      </w:pPr>
      <w:r>
        <w:rPr>
          <w:rFonts w:hint="eastAsia" w:ascii="微软雅黑" w:hAnsi="微软雅黑" w:eastAsia="微软雅黑"/>
          <w:b/>
          <w:noProof/>
          <w:sz w:val="36"/>
        </w:rPr>
        <w:t xml:space="preserve">Salma Zahid, Chair, Standing Committee on Science and Research (SRSR)</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Office of the Chair, Standing Committee on Science and Research</w:t>
      </w:r>
    </w:p>
    <w:p>
      <w:pPr>
        <w:spacing w:line="288" w:lineRule="auto"/>
        <w:ind/>
        <w:jc w:val="both"/>
      </w:pPr>
      <w:r>
        <w:rPr>
          <w:rFonts w:hint="eastAsia" w:ascii="微软雅黑" w:hAnsi="微软雅黑" w:eastAsia="微软雅黑"/>
          <w:b/>
          <w:noProof/>
          <w:sz w:val="24"/>
        </w:rPr>
        <w:t>From:</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15, 2026</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EX555 -- Receiver Infrastructure for Canada's Dual-Use Research Outputs</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noProof/>
          <w:sz w:val="24"/>
        </w:rPr>
        <w:t xml:space="preserve">Madam Chair,</w:t>
      </w:r>
    </w:p>
    <w:p>
      <w:pPr>
        <w:spacing w:line="288" w:lineRule="auto"/>
        <w:ind/>
        <w:jc w:val="both"/>
      </w:pPr>
      <w:r>
        <w:rPr>
          <w:rFonts w:hint="eastAsia" w:ascii="微软雅黑" w:hAnsi="微软雅黑" w:eastAsia="微软雅黑"/>
          <w:noProof/>
          <w:sz w:val="24"/>
        </w:rPr>
        <w:t xml:space="preserve">Your committee completed a four-meeting study on Canada's dual-use and defence research needs (February-June 2026). The study heard 29 witnesses and received 10 briefs. It examined the role of universities, colleges, the National Research Council, industry experts, and federal departments in supporting Canada's dual-use and defence research as a component of NATO spending targets.</w:t>
      </w:r>
    </w:p>
    <w:p>
      <w:pPr>
        <w:spacing w:line="288" w:lineRule="auto"/>
        <w:ind/>
        <w:jc w:val="both"/>
      </w:pPr>
      <w:r>
        <w:rPr>
          <w:rFonts w:hint="eastAsia" w:ascii="微软雅黑" w:hAnsi="微软雅黑" w:eastAsia="微软雅黑"/>
          <w:noProof/>
          <w:sz w:val="24"/>
        </w:rPr>
        <w:t xml:space="preserve">The study identified a structural gap: Canada's research institutions produce outputs that the government's receiving infrastructure is not designed to process. Dual-use outputs by definition straddle civilian and military classification regimes. Without a receiving architecture that can capture and calibrate these outputs, Canada's dual-use research investment produces results that cannot be fully translated into sovereign capability.</w:t>
      </w:r>
    </w:p>
    <w:p>
      <w:pPr>
        <w:spacing w:line="288" w:lineRule="auto"/>
        <w:ind/>
        <w:jc w:val="both"/>
      </w:pPr>
      <w:r>
        <w:rPr>
          <w:rFonts w:hint="eastAsia" w:ascii="微软雅黑" w:hAnsi="微软雅黑" w:eastAsia="微软雅黑"/>
          <w:noProof/>
          <w:sz w:val="24"/>
        </w:rPr>
        <w:t xml:space="preserve">EX555 is the receiving architecture your study implies.</w:t>
      </w:r>
    </w:p>
    <w:p>
      <w:pPr>
        <w:spacing w:line="288" w:lineRule="auto"/>
        <w:ind/>
        <w:jc w:val="both"/>
      </w:pPr>
      <w:r>
        <w:rPr>
          <w:rFonts w:hint="eastAsia" w:ascii="微软雅黑" w:hAnsi="微软雅黑" w:eastAsia="微软雅黑"/>
          <w:b/>
          <w:noProof/>
          <w:sz w:val="24"/>
        </w:rPr>
        <w:t xml:space="preserve">EX555 as a committee deliverable:</w:t>
      </w:r>
    </w:p>
    <w:p>
      <w:pPr>
        <w:spacing w:line="288" w:lineRule="auto"/>
        <w:ind/>
        <w:jc w:val="both"/>
      </w:pPr>
      <w:r>
        <w:rPr>
          <w:rFonts w:hint="eastAsia" w:ascii="微软雅黑" w:hAnsi="微软雅黑" w:eastAsia="微软雅黑"/>
          <w:noProof/>
          <w:sz w:val="24"/>
        </w:rPr>
        <w:t xml:space="preserve">EX555 is a five-stage receiver calibration protocol -- Receive, Register, Bind, Calibrate, Compile -- that ensures dual-use research outputs are not lost in translation between the research community and government decision-makers.</w:t>
      </w:r>
    </w:p>
    <w:p>
      <w:pPr>
        <w:spacing w:line="288" w:lineRule="auto"/>
        <w:ind/>
        <w:jc w:val="both"/>
      </w:pPr>
      <w:r>
        <w:rPr>
          <w:rFonts w:hint="eastAsia" w:ascii="微软雅黑" w:hAnsi="微软雅黑" w:eastAsia="微软雅黑"/>
          <w:noProof/>
          <w:sz w:val="24"/>
        </w:rPr>
        <w:t xml:space="preserve">The BIND protocol is particularly relevant to the committee's study. It creates bidirectional cross-references between research outputs across institutions, departments, and agencies -- exactly the multi-stakeholder integration that witnesses told the committee is currently lacking.</w:t>
      </w:r>
    </w:p>
    <w:p>
      <w:pPr>
        <w:spacing w:line="288" w:lineRule="auto"/>
        <w:ind/>
        <w:jc w:val="both"/>
      </w:pPr>
      <w:r>
        <w:rPr>
          <w:rFonts w:hint="eastAsia" w:ascii="微软雅黑" w:hAnsi="微软雅黑" w:eastAsia="微软雅黑"/>
          <w:b/>
          <w:noProof/>
          <w:sz w:val="24"/>
        </w:rPr>
        <w:t xml:space="preserve">Specific proposal:</w:t>
      </w:r>
    </w:p>
    <w:p>
      <w:pPr>
        <w:spacing w:line="288" w:lineRule="auto"/>
        <w:ind/>
        <w:jc w:val="both"/>
      </w:pPr>
      <w:r>
        <w:rPr>
          <w:rFonts w:hint="eastAsia" w:ascii="微软雅黑" w:hAnsi="微软雅黑" w:eastAsia="微软雅黑"/>
          <w:noProof/>
          <w:sz w:val="24"/>
        </w:rPr>
        <w:t xml:space="preserve">I request the opportunity to submit a brief to the committee on EX555 as the receiver infrastructure for Canada's dual-use research outputs. The committee's next work plan begins September 22, 2026. I propose a brief titled "Receiver Infrastructure for Canada's Frontier Technology Outputs: The EX555 Framework."</w:t>
      </w:r>
    </w:p>
    <w:p>
      <w:pPr>
        <w:spacing w:line="288" w:lineRule="auto"/>
        <w:ind/>
        <w:jc w:val="both"/>
      </w:pPr>
      <w:r>
        <w:rPr>
          <w:rFonts w:hint="eastAsia" w:ascii="微软雅黑" w:hAnsi="微软雅黑" w:eastAsia="微软雅黑"/>
          <w:noProof/>
          <w:sz w:val="24"/>
        </w:rPr>
        <w:t xml:space="preserve">The brief would cover:</w:t>
      </w:r>
    </w:p>
    <w:p>
      <w:pPr>
        <w:spacing w:line="288" w:lineRule="auto"/>
        <w:ind/>
        <w:jc w:val="both"/>
      </w:pPr>
      <w:r>
        <w:rPr>
          <w:rFonts w:hint="eastAsia" w:ascii="微软雅黑" w:hAnsi="微软雅黑" w:eastAsia="微软雅黑"/>
          <w:noProof/>
          <w:sz w:val="24"/>
        </w:rPr>
        <w:t xml:space="preserve">The anomalous output gap in dual-use research</w:t>
      </w:r>
    </w:p>
    <w:p>
      <w:pPr>
        <w:spacing w:line="288" w:lineRule="auto"/>
        <w:ind/>
        <w:jc w:val="both"/>
      </w:pPr>
      <w:r>
        <w:rPr>
          <w:rFonts w:hint="eastAsia" w:ascii="微软雅黑" w:hAnsi="微软雅黑" w:eastAsia="微软雅黑"/>
          <w:noProof/>
          <w:sz w:val="24"/>
        </w:rPr>
        <w:t xml:space="preserve">The five-stage receiver calibration protocol</w:t>
      </w:r>
    </w:p>
    <w:p>
      <w:pPr>
        <w:spacing w:line="288" w:lineRule="auto"/>
        <w:ind/>
        <w:jc w:val="both"/>
      </w:pPr>
      <w:r>
        <w:rPr>
          <w:rFonts w:hint="eastAsia" w:ascii="微软雅黑" w:hAnsi="微软雅黑" w:eastAsia="微软雅黑"/>
          <w:noProof/>
          <w:sz w:val="24"/>
        </w:rPr>
        <w:t xml:space="preserve">The BIND protocol for multi-stakeholder cross-referencing</w:t>
      </w:r>
    </w:p>
    <w:p>
      <w:pPr>
        <w:spacing w:line="288" w:lineRule="auto"/>
        <w:ind/>
        <w:jc w:val="both"/>
      </w:pPr>
      <w:r>
        <w:rPr>
          <w:rFonts w:hint="eastAsia" w:ascii="微软雅黑" w:hAnsi="微软雅黑" w:eastAsia="微软雅黑"/>
          <w:noProof/>
          <w:sz w:val="24"/>
        </w:rPr>
        <w:t xml:space="preserve">Implementation mapping to the Defence Industrial Strategy and the Canada Sovereign Systems Centre</w:t>
      </w:r>
    </w:p>
    <w:p>
      <w:pPr>
        <w:spacing w:line="288" w:lineRule="auto"/>
        <w:ind/>
        <w:jc w:val="both"/>
      </w:pPr>
      <w:r>
        <w:rPr>
          <w:rFonts w:hint="eastAsia" w:ascii="微软雅黑" w:hAnsi="微软雅黑" w:eastAsia="微软雅黑"/>
          <w:noProof/>
          <w:sz w:val="24"/>
        </w:rPr>
        <w:t xml:space="preserve">The UAP reporting capability as a first operational test case</w:t>
      </w:r>
    </w:p>
    <w:p>
      <w:pPr>
        <w:spacing w:line="288" w:lineRule="auto"/>
        <w:ind/>
        <w:jc w:val="both"/>
      </w:pPr>
      <w:r>
        <w:rPr>
          <w:rFonts w:hint="eastAsia" w:ascii="微软雅黑" w:hAnsi="微软雅黑" w:eastAsia="微软雅黑"/>
          <w:b/>
          <w:noProof/>
          <w:sz w:val="24"/>
        </w:rPr>
        <w:t xml:space="preserve">Three links for the committee's review:</w:t>
      </w:r>
    </w:p>
    <w:p>
      <w:pPr>
        <w:numPr>
          <w:ilvl w:val="0"/>
          <w:numId w:val="2"/>
        </w:numPr>
        <w:spacing w:line="288" w:lineRule="auto"/>
        <w:ind/>
        <w:jc w:val="both"/>
        <w:rPr/>
      </w:pPr>
      <w:r>
        <w:rPr>
          <w:rFonts w:hint="eastAsia" w:ascii="微软雅黑" w:hAnsi="微软雅黑" w:eastAsia="微软雅黑"/>
          <w:noProof/>
          <w:sz w:val="24"/>
        </w:rPr>
        <w:t xml:space="preserve">EX555 Canadian Sovereign Receiver Calibration Framework -- full document</w:t>
      </w:r>
    </w:p>
    <w:p>
      <w:pPr>
        <w:numPr>
          <w:ilvl w:val="0"/>
          <w:numId w:val="2"/>
        </w:numPr>
        <w:spacing w:line="288" w:lineRule="auto"/>
        <w:ind/>
        <w:jc w:val="both"/>
        <w:rPr/>
      </w:pPr>
      <w:r>
        <w:rPr>
          <w:rFonts w:hint="eastAsia" w:ascii="微软雅黑" w:hAnsi="微软雅黑" w:eastAsia="微软雅黑"/>
          <w:noProof/>
          <w:sz w:val="24"/>
        </w:rPr>
        <w:t xml:space="preserve">SRSR Committee Study: Canada's Dual Use and Defence Research Needs (your committee's own work)</w:t>
      </w:r>
    </w:p>
    <w:p>
      <w:pPr>
        <w:numPr>
          <w:ilvl w:val="0"/>
          <w:numId w:val="2"/>
        </w:numPr>
        <w:spacing w:line="288" w:lineRule="auto"/>
        <w:ind/>
        <w:jc w:val="both"/>
        <w:rPr/>
      </w:pPr>
      <w:r>
        <w:rPr>
          <w:rFonts w:hint="eastAsia" w:ascii="微软雅黑" w:hAnsi="微软雅黑" w:eastAsia="微软雅黑"/>
          <w:noProof/>
          <w:sz w:val="24"/>
        </w:rPr>
        <w:t xml:space="preserve">Sky Canada Project Final Report (Chief Science Advisor, July 2025) -- the UAP gap that EX555 operationalizes</w:t>
      </w:r>
    </w:p>
    <w:p>
      <w:pPr>
        <w:spacing w:line="288" w:lineRule="auto"/>
        <w:ind/>
        <w:jc w:val="both"/>
      </w:pPr>
      <w:r>
        <w:rPr>
          <w:rFonts w:hint="eastAsia" w:ascii="微软雅黑" w:hAnsi="微软雅黑" w:eastAsia="微软雅黑"/>
          <w:noProof/>
          <w:sz w:val="24"/>
        </w:rPr>
        <w:t xml:space="preserve">I am available to appear as a witness or submit a written brief at the committee's discretion.</w:t>
      </w:r>
    </w:p>
    <w:p>
      <w:pPr>
        <w:spacing w:line="288" w:lineRule="auto"/>
        <w:ind/>
        <w:jc w:val="both"/>
      </w:pPr>
      <w:r>
        <w:rPr>
          <w:rFonts w:hint="eastAsia" w:ascii="微软雅黑" w:hAnsi="微软雅黑" w:eastAsia="微软雅黑"/>
          <w:noProof/>
          <w:sz w:val="24"/>
        </w:rPr>
        <w:t>Respectfully,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EX555 // CANADIAN SOVEREIGN RECEIVER CALIBRATION FRAMEWORK</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