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2</w:t>
      </w:r>
    </w:p>
    <w:p>
      <w:pPr>
        <w:pStyle w:val="Heading2"/>
        <w:spacing w:line="288" w:lineRule="auto"/>
        <w:ind/>
        <w:jc w:val="left"/>
      </w:pPr>
      <w:r>
        <w:rPr>
          <w:rFonts w:hint="eastAsia" w:ascii="微软雅黑" w:hAnsi="微软雅黑" w:eastAsia="微软雅黑"/>
          <w:b/>
          <w:noProof/>
          <w:sz w:val="36"/>
        </w:rPr>
        <w:t xml:space="preserve">Leslyn Lewis, Conservative MP, Shadow Minister for Digital Government and AI</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Leslyn Lewis, MP, Haldimand--Norfolk</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A Canadian-Made Sovereignty Framework for AI Output Accountability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Dr. Lewis,</w:t>
      </w:r>
    </w:p>
    <w:p>
      <w:pPr>
        <w:spacing w:line="288" w:lineRule="auto"/>
        <w:ind/>
        <w:jc w:val="both"/>
      </w:pPr>
      <w:r>
        <w:rPr>
          <w:rFonts w:hint="eastAsia" w:ascii="微软雅黑" w:hAnsi="微软雅黑" w:eastAsia="微软雅黑"/>
          <w:noProof/>
          <w:sz w:val="24"/>
        </w:rPr>
        <w:t xml:space="preserve">In your statement upon appointment as Shadow Minister for Digital Government and AI, you said your task is to ensure the federal AI strategy safeguards Canadians' privacy, security, and fundamental freedoms. I am writing to provide the framework that makes that task achievable.</w:t>
      </w:r>
    </w:p>
    <w:p>
      <w:pPr>
        <w:spacing w:line="288" w:lineRule="auto"/>
        <w:ind/>
        <w:jc w:val="both"/>
      </w:pPr>
      <w:r>
        <w:rPr>
          <w:rFonts w:hint="eastAsia" w:ascii="微软雅黑" w:hAnsi="微软雅黑" w:eastAsia="微软雅黑"/>
          <w:noProof/>
          <w:sz w:val="24"/>
        </w:rPr>
        <w:t xml:space="preserve">The government's AI strategy addresses data sovereignty and compute sovereignty. It does not address </w:t>
      </w:r>
      <w:r>
        <w:rPr>
          <w:rFonts w:hint="eastAsia" w:ascii="微软雅黑" w:hAnsi="微软雅黑" w:eastAsia="微软雅黑"/>
          <w:b/>
          <w:noProof/>
          <w:sz w:val="24"/>
        </w:rPr>
        <w:t xml:space="preserve">output sovereignty</w:t>
      </w:r>
      <w:r>
        <w:rPr>
          <w:rFonts w:hint="eastAsia" w:ascii="微软雅黑" w:hAnsi="微软雅黑" w:eastAsia="微软雅黑"/>
          <w:noProof/>
          <w:sz w:val="24"/>
        </w:rPr>
        <w:t xml:space="preserve"> -- the structural capacity to ensure that Canadian AI systems produce outputs that are received, calibrated, and compiled within Canadian sovereign parameters.</w:t>
      </w:r>
    </w:p>
    <w:p>
      <w:pPr>
        <w:spacing w:line="288" w:lineRule="auto"/>
        <w:ind/>
        <w:jc w:val="both"/>
      </w:pPr>
      <w:r>
        <w:rPr>
          <w:rFonts w:hint="eastAsia" w:ascii="微软雅黑" w:hAnsi="微软雅黑" w:eastAsia="微软雅黑"/>
          <w:noProof/>
          <w:sz w:val="24"/>
        </w:rPr>
        <w:t xml:space="preserve">Without output sovereignty, the government's AI strategy is two-thirds complete. Canadian data stays in Canadian systems. Canadian AI runs on Canadian infrastructure. But the outputs -- the recommendations, the decisions, the intelligence products -- will be generated by systems that no Canadian government framework is designed to receive.</w:t>
      </w:r>
    </w:p>
    <w:p>
      <w:pPr>
        <w:spacing w:line="288" w:lineRule="auto"/>
        <w:ind/>
        <w:jc w:val="both"/>
      </w:pPr>
      <w:r>
        <w:rPr>
          <w:rFonts w:hint="eastAsia" w:ascii="微软雅黑" w:hAnsi="微软雅黑" w:eastAsia="微软雅黑"/>
          <w:b/>
          <w:noProof/>
          <w:sz w:val="24"/>
        </w:rPr>
        <w:t xml:space="preserve">EX555 is the receiver calibration framework that adds the third pillar.</w:t>
      </w:r>
    </w:p>
    <w:p>
      <w:pPr>
        <w:spacing w:line="288" w:lineRule="auto"/>
        <w:ind/>
        <w:jc w:val="both"/>
      </w:pPr>
      <w:r>
        <w:rPr>
          <w:rFonts w:hint="eastAsia" w:ascii="微软雅黑" w:hAnsi="微软雅黑" w:eastAsia="微软雅黑"/>
          <w:noProof/>
          <w:sz w:val="24"/>
        </w:rPr>
        <w:t xml:space="preserve">It operates in five stages: Receive (capture raw output), Register (assign persistent address), Bind (cross-reference across departments), Calibrate (assess signal fidelity), and Compile (generate structured sovereign decision-making product).</w:t>
      </w:r>
    </w:p>
    <w:p>
      <w:pPr>
        <w:spacing w:line="288" w:lineRule="auto"/>
        <w:ind/>
        <w:jc w:val="both"/>
      </w:pPr>
      <w:r>
        <w:rPr>
          <w:rFonts w:hint="eastAsia" w:ascii="微软雅黑" w:hAnsi="微软雅黑" w:eastAsia="微软雅黑"/>
          <w:noProof/>
          <w:sz w:val="24"/>
        </w:rPr>
        <w:t xml:space="preserve">As the Shadow Minister for AI, you are positioned to hold the government accountable for the gap in its AI strategy -- and to propose a Canadian-made alternative that completes the sovereignty stack.</w:t>
      </w:r>
    </w:p>
    <w:p>
      <w:pPr>
        <w:spacing w:line="288" w:lineRule="auto"/>
        <w:ind/>
        <w:jc w:val="both"/>
      </w:pPr>
      <w:r>
        <w:rPr>
          <w:rFonts w:hint="eastAsia" w:ascii="微软雅黑" w:hAnsi="微软雅黑" w:eastAsia="微软雅黑"/>
          <w:b/>
          <w:noProof/>
          <w:sz w:val="24"/>
        </w:rPr>
        <w:t xml:space="preserve">What I am asking:</w:t>
      </w:r>
    </w:p>
    <w:p>
      <w:pPr>
        <w:spacing w:line="288" w:lineRule="auto"/>
        <w:ind/>
        <w:jc w:val="both"/>
      </w:pPr>
      <w:r>
        <w:rPr>
          <w:rFonts w:hint="eastAsia" w:ascii="微软雅黑" w:hAnsi="微软雅黑" w:eastAsia="微软雅黑"/>
          <w:noProof/>
          <w:sz w:val="24"/>
        </w:rPr>
        <w:t xml:space="preserve">That you review EX555 as the framework for AI output accountability, and that you consider raising the output sovereignty gap in your shadow portfolio work, including during any review of the AI Strategy Task Force's recommendations.</w:t>
      </w:r>
    </w:p>
    <w:p>
      <w:pPr>
        <w:spacing w:line="288" w:lineRule="auto"/>
        <w:ind/>
        <w:jc w:val="both"/>
      </w:pPr>
      <w:r>
        <w:rPr>
          <w:rFonts w:hint="eastAsia" w:ascii="微软雅黑" w:hAnsi="微软雅黑" w:eastAsia="微软雅黑"/>
          <w:b/>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1"/>
        </w:numPr>
        <w:spacing w:line="288" w:lineRule="auto"/>
        <w:ind/>
        <w:jc w:val="both"/>
        <w:rPr/>
      </w:pPr>
      <w:r>
        <w:rPr>
          <w:rFonts w:hint="eastAsia" w:ascii="微软雅黑" w:hAnsi="微软雅黑" w:eastAsia="微软雅黑"/>
          <w:noProof/>
          <w:sz w:val="24"/>
        </w:rPr>
        <w:t xml:space="preserve">Minister Solomon's Empire Club address on AI/data sovereignty (the two-pillar framework EX555 completes)</w:t>
      </w:r>
    </w:p>
    <w:p>
      <w:pPr>
        <w:numPr>
          <w:ilvl w:val="0"/>
          <w:numId w:val="1"/>
        </w:numPr>
        <w:spacing w:line="288" w:lineRule="auto"/>
        <w:ind/>
        <w:jc w:val="both"/>
        <w:rPr/>
      </w:pPr>
      <w:r>
        <w:rPr>
          <w:rFonts w:hint="eastAsia" w:ascii="微软雅黑" w:hAnsi="微软雅黑" w:eastAsia="微软雅黑"/>
          <w:noProof/>
          <w:sz w:val="24"/>
        </w:rPr>
        <w:t xml:space="preserve">BAC++ Reference Guide v2.53 -- open-source protocol specification</w:t>
      </w:r>
    </w:p>
    <w:p>
      <w:pPr>
        <w:spacing w:line="288" w:lineRule="auto"/>
        <w:ind/>
        <w:jc w:val="both"/>
      </w:pPr>
      <w:r>
        <w:rPr>
          <w:rFonts w:hint="eastAsia" w:ascii="微软雅黑" w:hAnsi="微软雅黑" w:eastAsia="微软雅黑"/>
          <w:noProof/>
          <w:sz w:val="24"/>
        </w:rPr>
        <w:t xml:space="preserve">I am available to brief your office at any time.</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