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3</w:t>
      </w:r>
    </w:p>
    <w:p>
      <w:pPr>
        <w:pStyle w:val="Heading2"/>
        <w:spacing w:line="288" w:lineRule="auto"/>
        <w:ind/>
        <w:jc w:val="left"/>
      </w:pPr>
      <w:r>
        <w:rPr>
          <w:rFonts w:hint="eastAsia" w:ascii="微软雅黑" w:hAnsi="微软雅黑" w:eastAsia="微软雅黑"/>
          <w:b/>
          <w:noProof/>
          <w:sz w:val="36"/>
        </w:rPr>
        <w:t xml:space="preserve">Premier Danielle Smith, Province of Alberta</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Premier of Alberta</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Alberta-Built Receiving Infrastructure for Alberta's Frontier Technology Investments</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Premier Smith,</w:t>
      </w:r>
    </w:p>
    <w:p>
      <w:pPr>
        <w:spacing w:line="288" w:lineRule="auto"/>
        <w:ind/>
        <w:jc w:val="both"/>
      </w:pPr>
      <w:r>
        <w:rPr>
          <w:rFonts w:hint="eastAsia" w:ascii="微软雅黑" w:hAnsi="微软雅黑" w:eastAsia="微软雅黑"/>
          <w:noProof/>
          <w:sz w:val="24"/>
        </w:rPr>
        <w:t xml:space="preserve">Alberta is at the centre of Canada's frontier technology investment boom. The $14.5B Alberta Data Centre Cluster in Medicine Hat, the $10.9B Calgary-Edmonton High-Speed Rail, and Xanadu's quantum technology investments represent the largest technology capital deployment in Alberta's history.</w:t>
      </w:r>
    </w:p>
    <w:p>
      <w:pPr>
        <w:spacing w:line="288" w:lineRule="auto"/>
        <w:ind/>
        <w:jc w:val="both"/>
      </w:pPr>
      <w:r>
        <w:rPr>
          <w:rFonts w:hint="eastAsia" w:ascii="微软雅黑" w:hAnsi="微软雅黑" w:eastAsia="微软雅黑"/>
          <w:noProof/>
          <w:sz w:val="24"/>
        </w:rPr>
        <w:t xml:space="preserve">I am an Albertan writing from Didsbury. I have developed EX555 -- a receiver calibration framework designed to ensure that these investments produce outputs that are captured, calibrated, and compiled within Alberta's and Canada's sovereign frameworks.</w:t>
      </w:r>
    </w:p>
    <w:p>
      <w:pPr>
        <w:spacing w:line="288" w:lineRule="auto"/>
        <w:ind/>
        <w:jc w:val="both"/>
      </w:pPr>
      <w:r>
        <w:rPr>
          <w:rFonts w:hint="eastAsia" w:ascii="微软雅黑" w:hAnsi="微软雅黑" w:eastAsia="微软雅黑"/>
          <w:b/>
          <w:noProof/>
          <w:sz w:val="24"/>
        </w:rPr>
        <w:t xml:space="preserve">The problem:</w:t>
      </w:r>
    </w:p>
    <w:p>
      <w:pPr>
        <w:spacing w:line="288" w:lineRule="auto"/>
        <w:ind/>
        <w:jc w:val="both"/>
      </w:pPr>
      <w:r>
        <w:rPr>
          <w:rFonts w:hint="eastAsia" w:ascii="微软雅黑" w:hAnsi="微软雅黑" w:eastAsia="微软雅黑"/>
          <w:noProof/>
          <w:sz w:val="24"/>
        </w:rPr>
        <w:t xml:space="preserve">When the Synapse AI Data Centre proposed a $30.7B investment in Olds, Alberta, the community rejected it. The failure was not technological. The receiving community and regulatory framework did not have the calibration capacity to process an investment of that magnitude. The signal exceeded the receiver's bandwidth.</w:t>
      </w:r>
    </w:p>
    <w:p>
      <w:pPr>
        <w:spacing w:line="288" w:lineRule="auto"/>
        <w:ind/>
        <w:jc w:val="both"/>
      </w:pPr>
      <w:r>
        <w:rPr>
          <w:rFonts w:hint="eastAsia" w:ascii="微软雅黑" w:hAnsi="微软雅黑" w:eastAsia="微软雅黑"/>
          <w:noProof/>
          <w:sz w:val="24"/>
        </w:rPr>
        <w:t xml:space="preserve">EX555 prevents this failure mode. The framework ensures that when frontier technology investments arrive in Alberta, the receiving infrastructure is calibrated to process them.</w:t>
      </w:r>
    </w:p>
    <w:p>
      <w:pPr>
        <w:spacing w:line="288" w:lineRule="auto"/>
        <w:ind/>
        <w:jc w:val="both"/>
      </w:pPr>
      <w:r>
        <w:rPr>
          <w:rFonts w:hint="eastAsia" w:ascii="微软雅黑" w:hAnsi="微软雅黑" w:eastAsia="微软雅黑"/>
          <w:b/>
          <w:noProof/>
          <w:sz w:val="24"/>
        </w:rPr>
        <w:t xml:space="preserve">The Alberta Sovereignty Act alignment:</w:t>
      </w:r>
    </w:p>
    <w:p>
      <w:pPr>
        <w:spacing w:line="288" w:lineRule="auto"/>
        <w:ind/>
        <w:jc w:val="both"/>
      </w:pPr>
      <w:r>
        <w:rPr>
          <w:rFonts w:hint="eastAsia" w:ascii="微软雅黑" w:hAnsi="微软雅黑" w:eastAsia="微软雅黑"/>
          <w:noProof/>
          <w:sz w:val="24"/>
        </w:rPr>
        <w:t xml:space="preserve">The Alberta Sovereignty Act provides the legislative framework for provincial receiving capacity. EX555 provides the technical implementation. Together, they ensure that Alberta has both the legal authority and the operational capability to receive and act on outputs from technology investments made in Alberta.</w:t>
      </w:r>
    </w:p>
    <w:p>
      <w:pPr>
        <w:spacing w:line="288" w:lineRule="auto"/>
        <w:ind/>
        <w:jc w:val="both"/>
      </w:pPr>
      <w:r>
        <w:rPr>
          <w:rFonts w:hint="eastAsia" w:ascii="微软雅黑" w:hAnsi="微软雅黑" w:eastAsia="微软雅黑"/>
          <w:b/>
          <w:noProof/>
          <w:sz w:val="24"/>
        </w:rPr>
        <w:t xml:space="preserve">What I am asking:</w:t>
      </w:r>
    </w:p>
    <w:p>
      <w:pPr>
        <w:spacing w:line="288" w:lineRule="auto"/>
        <w:ind/>
        <w:jc w:val="both"/>
      </w:pPr>
      <w:r>
        <w:rPr>
          <w:rFonts w:hint="eastAsia" w:ascii="微软雅黑" w:hAnsi="微软雅黑" w:eastAsia="微软雅黑"/>
          <w:noProof/>
          <w:sz w:val="24"/>
        </w:rPr>
        <w:t xml:space="preserve">That the Government of Alberta evaluate EX555 as the receiving infrastructure standard for the province's frontier technology investments, and that it be considered for integration with the Alberta Sovereignty Act's implementation framework.</w:t>
      </w:r>
    </w:p>
    <w:p>
      <w:pPr>
        <w:spacing w:line="288" w:lineRule="auto"/>
        <w:ind/>
        <w:jc w:val="both"/>
      </w:pPr>
      <w:r>
        <w:rPr>
          <w:rFonts w:hint="eastAsia" w:ascii="微软雅黑" w:hAnsi="微软雅黑" w:eastAsia="微软雅黑"/>
          <w:b/>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1"/>
        </w:numPr>
        <w:spacing w:line="288" w:lineRule="auto"/>
        <w:ind/>
        <w:jc w:val="both"/>
        <w:rPr/>
      </w:pPr>
      <w:r>
        <w:rPr>
          <w:rFonts w:hint="eastAsia" w:ascii="微软雅黑" w:hAnsi="微软雅黑" w:eastAsia="微软雅黑"/>
          <w:noProof/>
          <w:sz w:val="24"/>
        </w:rPr>
        <w:t xml:space="preserve">The Alberta Data Centre Cluster and the Olds lesson</w:t>
      </w:r>
    </w:p>
    <w:p>
      <w:pPr>
        <w:numPr>
          <w:ilvl w:val="0"/>
          <w:numId w:val="1"/>
        </w:numPr>
        <w:spacing w:line="288" w:lineRule="auto"/>
        <w:ind/>
        <w:jc w:val="both"/>
        <w:rPr/>
      </w:pPr>
      <w:r>
        <w:rPr>
          <w:rFonts w:hint="eastAsia" w:ascii="微软雅黑" w:hAnsi="微软雅黑" w:eastAsia="微软雅黑"/>
          <w:noProof/>
          <w:sz w:val="24"/>
        </w:rPr>
        <w:t xml:space="preserve">BAC++ Reference Guide v2.53 -- open-source protocol specification</w:t>
      </w:r>
    </w:p>
    <w:p>
      <w:pPr>
        <w:spacing w:line="288" w:lineRule="auto"/>
        <w:ind/>
        <w:jc w:val="both"/>
      </w:pPr>
      <w:r>
        <w:rPr>
          <w:rFonts w:hint="eastAsia" w:ascii="微软雅黑" w:hAnsi="微软雅黑" w:eastAsia="微软雅黑"/>
          <w:noProof/>
          <w:sz w:val="24"/>
        </w:rPr>
        <w:t xml:space="preserve">I would welcome the opportunity to present to your office or to Alberta Innovates.</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