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SUBJECT: The observation you made in Magonia — and the textbook that was built on its shoulders</w:t>
      </w:r>
    </w:p>
    <w:p>
      <w:pPr>
        <w:spacing w:line="288" w:lineRule="auto"/>
        <w:ind/>
        <w:jc w:val="both"/>
      </w:pPr>
      <w:r>
        <w:rPr>
          <w:rFonts w:hint="eastAsia" w:ascii="微软雅黑" w:hAnsi="微软雅黑" w:eastAsia="微软雅黑"/>
          <w:noProof/>
          <w:sz w:val="24"/>
        </w:rPr>
        <w:t xml:space="preserve">Dear Dr. Vallée,</w:t>
      </w:r>
    </w:p>
    <w:p>
      <w:pPr>
        <w:spacing w:line="288" w:lineRule="auto"/>
        <w:ind/>
        <w:jc w:val="both"/>
      </w:pPr>
      <w:r>
        <w:rPr>
          <w:rFonts w:hint="eastAsia" w:ascii="微软雅黑" w:hAnsi="微软雅黑" w:eastAsia="微软雅黑"/>
          <w:noProof/>
          <w:sz w:val="24"/>
        </w:rPr>
        <w:t xml:space="preserve">My name is Evan Svendsen. I'm based in Edmonton, Alberta. I have just published a 615-page academic textbook called The Science of UFOLOGY: A Skeptom's Textbook for the Serious Study of the Unidentified. It is a structured textbook — full colour, 8.25×11, built for classroom use — not a manifesto, not a belief statement, and not entertainment.</w:t>
      </w:r>
    </w:p>
    <w:p>
      <w:pPr>
        <w:spacing w:line="288" w:lineRule="auto"/>
        <w:ind/>
        <w:jc w:val="both"/>
      </w:pPr>
      <w:r>
        <w:rPr>
          <w:rFonts w:hint="eastAsia" w:ascii="微软雅黑" w:hAnsi="微软雅黑" w:eastAsia="微软雅黑"/>
          <w:noProof/>
          <w:sz w:val="24"/>
        </w:rPr>
        <w:t xml:space="preserve">I am writing because your observation in Passport to Magonia is the load-bearing wall of this book, and I want you to see what was built on it before you cannot.</w:t>
      </w:r>
    </w:p>
    <w:p>
      <w:pPr>
        <w:spacing w:line="288" w:lineRule="auto"/>
        <w:ind/>
        <w:jc w:val="both"/>
      </w:pPr>
      <w:r>
        <w:rPr>
          <w:rFonts w:hint="eastAsia" w:ascii="微软雅黑" w:hAnsi="微软雅黑" w:eastAsia="微软雅黑"/>
          <w:noProof/>
          <w:sz w:val="24"/>
        </w:rPr>
        <w:t xml:space="preserve">You noticed in 1969 that the reports do not look like visits and do read like the fairy and demon encounters of earlier centuries — same abductions, same missing time, same lights, same absurd little details. That observation has never been answered. The nuts-and-bolts school has not touched it. I treat it in the book as genuine and unresolved, because it is.</w:t>
      </w:r>
    </w:p>
    <w:p>
      <w:pPr>
        <w:spacing w:line="288" w:lineRule="auto"/>
        <w:ind/>
        <w:jc w:val="both"/>
      </w:pPr>
      <w:r>
        <w:rPr>
          <w:rFonts w:hint="eastAsia" w:ascii="微软雅黑" w:hAnsi="微软雅黑" w:eastAsia="微软雅黑"/>
          <w:noProof/>
          <w:sz w:val="24"/>
        </w:rPr>
        <w:t xml:space="preserve">What I did not adopt is the control system hypothesis — and I want to be direct about why, because the reason is itself a form of respect. A control system that adapts its manifestations to the beliefs it is shaping cannot be caught out by any measurement. A proposition no measurement can embarrass is not a scientific one. You asked the best question in the field's history. The answer you gave it is the one place where the book diverges from you — and it is the one place where the book is most explicit about the divergence being a measurement problem, not a dismissal.</w:t>
      </w:r>
    </w:p>
    <w:p>
      <w:pPr>
        <w:spacing w:line="288" w:lineRule="auto"/>
        <w:ind/>
        <w:jc w:val="both"/>
      </w:pPr>
      <w:r>
        <w:rPr>
          <w:rFonts w:hint="eastAsia" w:ascii="微软雅黑" w:hAnsi="微软雅黑" w:eastAsia="微软雅黑"/>
          <w:noProof/>
          <w:sz w:val="24"/>
        </w:rPr>
        <w:t xml:space="preserve">What the book does instead is build outward from your observation using instruments. The taxonomy is observation-first: aerial phenomena by behaviour, morphology, and sensor signature; close encounters including EM effects, physiological effects, and vehicle interference; and correlated multi-sensor anomalies. It is designed so that Hynek's scale (built for witness reports) and your framework (built for the pattern across centuries) both have a place — but so does instrumented sensor data that neither system was designed to handle. The Magonia observation is the reason the taxonomy includes the folklore layer at all. Without you, it would be a sensor classification system. With you, it accounts for the fact that the phenomenon has been wearing costumes for at least five hundred years.</w:t>
      </w:r>
    </w:p>
    <w:p>
      <w:pPr>
        <w:spacing w:line="288" w:lineRule="auto"/>
        <w:ind/>
        <w:jc w:val="both"/>
      </w:pPr>
      <w:r>
        <w:rPr>
          <w:rFonts w:hint="eastAsia" w:ascii="微软雅黑" w:hAnsi="微软雅黑" w:eastAsia="微软雅黑"/>
          <w:noProof/>
          <w:sz w:val="24"/>
        </w:rPr>
        <w:t xml:space="preserve">The book also documents the institutional suppression you experienced from the other side. The Robertson Panel's purpose was not to investigate but to debunk and reduce public interest. Project Blue Book was managed to a conclusion. The Condon Committee's own subreports contradicted Condon's summary. You lived the version of this that the French establishment imposed. The book provides the documented proof that this is how the system works by design across every anglophone institution — and that it has worked that way since 1947.</w:t>
      </w:r>
    </w:p>
    <w:p>
      <w:pPr>
        <w:spacing w:line="288" w:lineRule="auto"/>
        <w:ind/>
        <w:jc w:val="both"/>
      </w:pPr>
      <w:r>
        <w:rPr>
          <w:rFonts w:hint="eastAsia" w:ascii="微软雅黑" w:hAnsi="微软雅黑" w:eastAsia="微软雅黑"/>
          <w:noProof/>
          <w:sz w:val="24"/>
        </w:rPr>
        <w:t xml:space="preserve">You spent nearly seventy years on this subject. Forbidden Science 7 carries the subtitle Final Report. I do not know your health status and I will not speculate. What I know is that you deserve to see a textbook that took your observation seriously enough to build a taxonomy on it, honest enough to say where it diverges, and long enough to put both positions in the permanent record.</w:t>
      </w:r>
    </w:p>
    <w:p>
      <w:pPr>
        <w:spacing w:line="288" w:lineRule="auto"/>
        <w:ind/>
        <w:jc w:val="both"/>
      </w:pPr>
      <w:r>
        <w:rPr>
          <w:rFonts w:hint="eastAsia" w:ascii="微软雅黑" w:hAnsi="微软雅黑" w:eastAsia="微软雅黑"/>
          <w:noProof/>
          <w:sz w:val="24"/>
        </w:rPr>
        <w:t xml:space="preserve">The digital edition (clickable links, searchable) is available here:</w:t>
      </w:r>
    </w:p>
    <w:p>
      <w:pPr>
        <w:spacing w:line="288" w:lineRule="auto"/>
        <w:ind/>
        <w:jc w:val="both"/>
      </w:pPr>
      <w:r>
        <w:rPr>
          <w:rFonts w:hint="eastAsia" w:ascii="微软雅黑" w:hAnsi="微软雅黑" w:eastAsia="微软雅黑"/>
          <w:noProof/>
          <w:sz w:val="24"/>
        </w:rPr>
        <w:t xml:space="preserve">[LINK TO PAYHIP — Evan will insert]</w:t>
      </w:r>
    </w:p>
    <w:p>
      <w:pPr>
        <w:spacing w:line="288" w:lineRule="auto"/>
        <w:ind/>
        <w:jc w:val="both"/>
      </w:pPr>
      <w:r>
        <w:rPr>
          <w:rFonts w:hint="eastAsia" w:ascii="微软雅黑" w:hAnsi="微软雅黑" w:eastAsia="微软雅黑"/>
          <w:noProof/>
          <w:sz w:val="24"/>
        </w:rPr>
        <w:t xml:space="preserve">I will also attach a PDF copy to this email. No obligation, no ask. The book exists because you asked the question first.</w:t>
      </w:r>
    </w:p>
    <w:p>
      <w:pPr>
        <w:spacing w:line="288" w:lineRule="auto"/>
        <w:ind/>
        <w:jc w:val="both"/>
      </w:pPr>
      <w:r>
        <w:rPr>
          <w:rFonts w:hint="eastAsia" w:ascii="微软雅黑" w:hAnsi="微软雅黑" w:eastAsia="微软雅黑"/>
          <w:noProof/>
          <w:sz w:val="24"/>
        </w:rPr>
        <w:t xml:space="preserve">With respect,</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Alberta</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