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$552 billion — the cost to rename New Mexico that nobody calculated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Letters to the Editor —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Albuquerque Journal is the largest newspaper in the state whose name Trump proposed changing. The national coverage has been about politics. Nobody calculated the cost.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did.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Ten tiers of impact — government IT, private sector systems, international standards, physical infrastructure, business disruption on I-40 and I-25, a decade of dual-system operation, GDP loss to New Mexico specifically, opportunity cost from 200,000 diverted developers, legal and constitutional challenges, and long-tail effects including COBOL systems that will never be updated.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Full breakdown: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Mexico bears Tier 7 directly — $13 billion in GDP impact from tourism loss, business avoidance, and federal funding delays.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President is a businessman who didn't do the math. Now the math exists.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variable is replaceable. If any assumption is wrong, swap it and recalculate — the architecture holds.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I'm in Alberta, Canada. No partisan stake. I just did the math because nobody else did.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