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1F3864"/>
          <w:sz w:val="44"/>
          <w:szCs w:val="44"/>
        </w:rPr>
        <w:t xml:space="preserve">PROPOSITION COMMERCIALE</w:t>
      </w:r>
    </w:p>
    <w:p>
      <w:pPr>
        <w:spacing w:after="60"/>
        <w:jc w:val="center"/>
      </w:pPr>
      <w:r>
        <w:rPr>
          <w:color w:val="2E75B6"/>
          <w:sz w:val="26"/>
          <w:szCs w:val="26"/>
        </w:rPr>
        <w:t xml:space="preserve">Licence d'utilisation &amp; hébergement dédié (on-premise)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Plateforme de gestion scolaire EducTrack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Établissement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[Nom de l'établissement]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À l'attention de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[Nom du responsable / Direction]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Éditeur / Prestataire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Zouhair Essaihi — EducTrack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zouhairessaihi04@gmail.com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07 juin 2026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Validité de l'offre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 jours à compter de la date ci-dessus</w:t>
            </w:r>
          </w:p>
        </w:tc>
      </w:tr>
    </w:tbl>
    <w:p>
      <w:pPr>
        <w:pStyle w:val="Heading1"/>
      </w:pPr>
      <w:r>
        <w:t xml:space="preserve">1. Contexte</w:t>
      </w:r>
    </w:p>
    <w:p>
      <w:pPr>
        <w:spacing w:after="120"/>
      </w:pPr>
      <w:r>
        <w:t xml:space="preserve">Le présent document constitue une proposition commerciale pour l'acquisition d'une licence d'utilisation de la plateforme de gestion scolaire EducTrack, déployée et hébergée sur l'infrastructure propre de l'établissement (mode « on-premise »).</w:t>
      </w:r>
    </w:p>
    <w:p>
      <w:pPr>
        <w:spacing w:after="120"/>
      </w:pPr>
      <w:r>
        <w:t xml:space="preserve">Ce mode de déploiement répond à l'exigence de confidentialité de l'établissement : l'intégralité des données (élèves, familles, notes, finances) est hébergée et conservée sur le serveur de l'établissement, sous son contrôle exclusif.</w:t>
      </w:r>
    </w:p>
    <w:p>
      <w:pPr>
        <w:pStyle w:val="Heading1"/>
      </w:pPr>
      <w:r>
        <w:t xml:space="preserve">2. Périmètre fonctionnel</w:t>
      </w:r>
    </w:p>
    <w:p>
      <w:pPr>
        <w:spacing w:after="120"/>
      </w:pPr>
      <w:r>
        <w:t xml:space="preserve">La plateforme couvre l'ensemble de la gestion d'un établissement scolaire à travers les modules suivants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 des élèves, classes, enseignants et matières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Suivi des absences, retards et comportement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Cahier de textes, devoirs, contrôles et plan de contrôles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Bulletins de notes et examens de certification (national, régional, local)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financier : facturation, paiements, caisse, dépenses et impayés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Transport scolaire avec suivi cartographique en temps réel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 scolaire : cahier de vie, signalements, sondages, objets perdus, parascolaire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Communication automatisée avec les parents via WhatsApp (chatbot bilingue FR/AR)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Espaces dédiés : administration, enseignants, élèves, parents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Assistant IA intégré (voir clause de confidentialité, §4)</w:t>
      </w:r>
    </w:p>
    <w:p>
      <w:pPr>
        <w:pStyle w:val="Heading1"/>
      </w:pPr>
      <w:r>
        <w:t xml:space="preserve">3. Modèle de déploiement on-premise</w:t>
      </w:r>
    </w:p>
    <w:p>
      <w:pPr>
        <w:spacing w:after="120"/>
      </w:pPr>
      <w:r>
        <w:t xml:space="preserve">La solution est livrée et installée sur le serveur de l'établissement. Elle comprend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Installation complète de l'application (interface web + serveur applicatif)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de données auto-hébergée sur le serveur de l'établissement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Configuration du nom de domaine, du certificat SSL et de la sécurité d'accès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Mise en place des sauvegardes automatiques quotidiennes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Création des comptes administrateurs initiaux et session de formation</w:t>
      </w:r>
    </w:p>
    <w:p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 xml:space="preserve">Prérequis : l'établissement met à disposition un serveur (physique ou virtuel) répondant aux spécifications techniques communiquées par l'éditeur, ainsi qu'un accès distant sécurisé pour la maintenance.</w:t>
      </w:r>
    </w:p>
    <w:p>
      <w:pPr>
        <w:pStyle w:val="Heading1"/>
      </w:pPr>
      <w:r>
        <w:t xml:space="preserve">4. Confidentialité et protection des données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données sont hébergées exclusivement sur le serveur de l'établissement.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L'éditeur n'accède aux données que dans le cadre des opérations de maintenance, à la demande de l'établissement.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IA : certaines fonctionnalités d'assistance s'appuient sur un service d'intelligence artificielle externe (OpenAI). Les données transmises sont minimisées et ne servent pas à l'entraînement de modèles tiers. L'établissement peut désactiver ce module à tout moment. Cette clause sera précisée et acceptée dans le contrat définitif.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traitement est conforme à la loi 09-08 relative à la protection des données à caractère personnel.</w:t>
      </w:r>
    </w:p>
    <w:p>
      <w:pPr>
        <w:pStyle w:val="Heading1"/>
        <w:pageBreakBefore/>
      </w:pPr>
      <w:r>
        <w:t xml:space="preserve">5. Offre tarifaire</w:t>
      </w:r>
    </w:p>
    <w:p>
      <w:pPr>
        <w:spacing w:after="120"/>
      </w:pPr>
      <w:r>
        <w:t xml:space="preserve">Les montants ci-dessous sont exprimés en dirhams marocains (DH), hors taxes.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200"/>
        <w:gridCol w:w="2800"/>
      </w:tblGrid>
      <w:tr>
        <w:trPr>
          <w:tblHeader/>
        </w:trP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Prestation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Nature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Montant (DH)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Licence d'utilisation perpétuelle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Paiement unique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100 000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Installation, déploiement et mise en service (incluse)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Paiement unique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Incluse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Maintenance et support — 1ère année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Annuel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20 000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1ère année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120 000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Maintenance annuelle (années suivantes)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Annuel récurrent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20 000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La licence est perpétuelle : une fois acquise, le droit d'utilisation de la version livrée est définitif. </w:t>
      </w:r>
      <w:r>
        <w:t xml:space="preserve">Seule la maintenance annuelle est récurrente et donne accès au support et aux mises à jour.</w:t>
      </w:r>
    </w:p>
    <w:p>
      <w:pPr>
        <w:pStyle w:val="Heading2"/>
      </w:pPr>
      <w:r>
        <w:t xml:space="preserve">Modalités de paiement (proposées)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50 % à la signature du contrat (60 000 DH)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50 % à la livraison et mise en service (60 000 DH)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Maintenance des années suivantes : facturée annuellement, à la date anniversaire</w:t>
      </w:r>
    </w:p>
    <w:p>
      <w:pPr>
        <w:pStyle w:val="Heading1"/>
      </w:pPr>
      <w:r>
        <w:t xml:space="preserve">6. Détail de la maintenance et du support</w:t>
      </w:r>
    </w:p>
    <w:p>
      <w:pPr>
        <w:spacing w:after="120"/>
      </w:pPr>
      <w:r>
        <w:t xml:space="preserve">La maintenance annuelle (20 000 DH/an) couvre les prestations suivantes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Inclus dans la maintenance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Hors maintenance (sur devis)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Correctifs de bugs et de sécurité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Développement de nouvelles fonctionnalités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Mises à jour de la plateforme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Modules supplémentaires non prévus au contrat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Support technique à distance (jours ouvrables)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Formation au-delà de la session initiale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Supervision des sauvegardes automatiques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Restauration suite à une erreur de l'établissement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Assistance en cas d'incident serveur applicatif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Achat / gestion du matériel serveur</w:t>
            </w:r>
          </w:p>
        </w:tc>
      </w:tr>
    </w:tbl>
    <w:p>
      <w:pPr>
        <w:pStyle w:val="Heading1"/>
      </w:pPr>
      <w:r>
        <w:t xml:space="preserve">7. Conditions générales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licence est concédée à l'établissement nommé et n'est pas cessible à un tiers.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code source reste la propriété intellectuelle exclusive de l'éditeur.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maintenance est reconductible annuellement par accord des deux parties.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délais d'installation sont précisés au contrat après validation des prérequis serveur.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 développement spécifique non prévu dans le périmètre fait l'objet d'un devis distinct.</w:t>
      </w:r>
    </w:p>
    <w:p>
      <w:pPr>
        <w:pStyle w:val="Heading1"/>
      </w:pPr>
      <w:r>
        <w:t xml:space="preserve">8. Acceptation</w:t>
      </w:r>
    </w:p>
    <w:p>
      <w:pPr>
        <w:spacing w:after="400"/>
      </w:pPr>
      <w:r>
        <w:t xml:space="preserve">Pour accord sur la présente proposition, merci de retourner ce document daté, signé et revêtu du cachet de l'établissement.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40"/>
              <w:bottom w:type="dxa" w:w="600"/>
              <w:right w:type="dxa" w:w="140"/>
            </w:tcMar>
          </w:tcPr>
          <w:p>
            <w:r>
              <w:rPr>
                <w:b/>
                <w:bCs/>
              </w:rPr>
              <w:t xml:space="preserve">Pour l'établissement</w:t>
            </w:r>
          </w:p>
          <w:p>
            <w:pPr>
              <w:spacing w:before="80"/>
            </w:pPr>
            <w:r>
              <w:rPr>
                <w:color w:val="595959"/>
                <w:sz w:val="18"/>
                <w:szCs w:val="18"/>
              </w:rPr>
              <w:t xml:space="preserve">Nom, qualité, date et cachet :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40"/>
              <w:bottom w:type="dxa" w:w="600"/>
              <w:right w:type="dxa" w:w="140"/>
            </w:tcMar>
          </w:tcPr>
          <w:p>
            <w:r>
              <w:rPr>
                <w:b/>
                <w:bCs/>
              </w:rPr>
              <w:t xml:space="preserve">Pour l'éditeur — EducTrack</w:t>
            </w:r>
          </w:p>
          <w:p>
            <w:pPr>
              <w:spacing w:before="80"/>
            </w:pPr>
            <w:r>
              <w:rPr>
                <w:color w:val="595959"/>
                <w:sz w:val="18"/>
                <w:szCs w:val="18"/>
              </w:rPr>
              <w:t xml:space="preserve">Zouhair Essaihi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EducTrack — etrack.ma   |   Confidentiel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b/>
        <w:bCs/>
        <w:color w:val="1F3864"/>
      </w:rPr>
      <w:t xml:space="preserve">EducTrack</w:t>
    </w:r>
    <w:r>
      <w:rPr>
        <w:color w:val="595959"/>
        <w:sz w:val="18"/>
        <w:szCs w:val="18"/>
      </w:rPr>
      <w:t xml:space="preserve">	Proposition commerciale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commerciale - Licence on-premise</dc:title>
  <dc:creator>EducTrack</dc:creator>
  <cp:lastModifiedBy>Un-named</cp:lastModifiedBy>
  <cp:revision>1</cp:revision>
  <dcterms:created xsi:type="dcterms:W3CDTF">2026-06-07T21:21:22.887Z</dcterms:created>
  <dcterms:modified xsi:type="dcterms:W3CDTF">2026-06-07T21:21:22.889Z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