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08.0" w:type="dxa"/>
        <w:jc w:val="left"/>
        <w:tblInd w:w="-115.0" w:type="dxa"/>
        <w:tblLayout w:type="fixed"/>
        <w:tblLook w:val="0400"/>
      </w:tblPr>
      <w:tblGrid>
        <w:gridCol w:w="7200"/>
        <w:gridCol w:w="2608"/>
        <w:tblGridChange w:id="0">
          <w:tblGrid>
            <w:gridCol w:w="7200"/>
            <w:gridCol w:w="260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2">
            <w:pPr>
              <w:spacing w:after="4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ESSAM AZZAM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Mannheim, Deutschland | +49 162 338 9146 | essam.azzam@forte4.de</w:t>
            </w:r>
          </w:p>
          <w:p w:rsidR="00000000" w:rsidDel="00000000" w:rsidP="00000000" w:rsidRDefault="00000000" w:rsidRPr="00000000" w14:paraId="00000004">
            <w:pPr>
              <w:spacing w:after="80" w:before="0" w:line="25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forte4.de | LinkedIn: essam-azzam-4201b6106</w:t>
            </w:r>
          </w:p>
          <w:p w:rsidR="00000000" w:rsidDel="00000000" w:rsidP="00000000" w:rsidRDefault="00000000" w:rsidRPr="00000000" w14:paraId="00000005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SAP Master Data Governance Architekt | Lead ABAP Entwickler | Data Governance (S/4HANA, BTP)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6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752475</wp:posOffset>
                  </wp:positionH>
                  <wp:positionV relativeFrom="paragraph">
                    <wp:posOffset>291512</wp:posOffset>
                  </wp:positionV>
                  <wp:extent cx="817382" cy="1213168"/>
                  <wp:effectExtent b="0" l="0" r="0" t="0"/>
                  <wp:wrapSquare wrapText="bothSides" distB="114300" distT="114300" distL="114300" distR="11430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7382" cy="121316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000000" w:rsidDel="00000000" w:rsidP="00000000" w:rsidRDefault="00000000" w:rsidRPr="00000000" w14:paraId="00000007">
      <w:pPr>
        <w:spacing w:after="40" w:before="160" w:line="252.00000000000003" w:lineRule="auto"/>
        <w:rPr/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Profil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40" w:before="160" w:line="252.00000000000003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SAP MDG &amp; S/4HANA Architekt </w:t>
      </w:r>
      <w:r w:rsidDel="00000000" w:rsidR="00000000" w:rsidRPr="00000000">
        <w:rPr>
          <w:rtl w:val="0"/>
        </w:rPr>
        <w:t xml:space="preserve">mit über 10 Jahren Erfahrung in der Leitung von Global-Template-Designs und End-to-End-Master-Data-Governance-Architekturen im Rahmen komplexer S/4HANA-Transformationsprogramme in den Branchen Manufacturing, Pharma sowie Oil &amp; Gas. Experte für zentrale MDG-Hub-Architekturen, Master-Data-Management-(MDM)-Frameworks und systemübergreifende Datenverteilungsstrategien (IDoc, DRF, API-basierte Replikation). Starker Fokus auf Governance-Betriebsmodelle, skalierbare Business-Rule-Architekturen (BRF+, Validierungen, Derivationen) sowie Impact-Analysen für globale Template-Rollouts. Erfahrung im Stakeholder-Alignment, in der Teilnahme an Steering Boards sowie in der Schnittstellenfunktion zwischen Fachbereich und IT zur Sicherstellung skalierbarer Data-Governance-Strukturen, stabiler Integrationslandschaften und nachhaltiger Daten</w:t>
      </w:r>
      <w:r w:rsidDel="00000000" w:rsidR="00000000" w:rsidRPr="00000000">
        <w:rPr>
          <w:b w:val="1"/>
          <w:bCs w:val="1"/>
          <w:rtl w:val="0"/>
        </w:rPr>
        <w:t xml:space="preserve">qualität.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0" w:before="160" w:line="252.00000000000003" w:lineRule="auto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KERNKOMPETENZEN / SCHLÜSSELQUALIFIKATIONEN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line="252.00000000000003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SAP Core: SAP S/4HANA (primär On-Premise; Public Cloud &amp; Private Cloud), SAP Business Technology Platform (BTP), SAP Integration Suite (SAP Cloud Integration/CPI, API Management, Event Mesh)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line="252.00000000000003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Integrationsmuster &amp; Protokolle: API-basierte Integration, Event-driven Architecture, synchrone vs. asynchrone Integration; OData, REST, SOAP; IDoc, RFC; hybride Integrationslandschaften (Cloud-to-Cloud, Cloud-to-On-Premise)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line="252.00000000000003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Leitete das Global-Template-Design für einen zentralen SAP-MDG-Hub, integriert mit S/4HANA (Produkt-/Materialstamm).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line="252.00000000000003" w:lineRule="auto"/>
        <w:ind w:left="360"/>
        <w:rPr>
          <w:u w:val="none"/>
        </w:rPr>
      </w:pPr>
      <w:r w:rsidDel="00000000" w:rsidR="00000000" w:rsidRPr="00000000">
        <w:rPr>
          <w:rtl w:val="0"/>
        </w:rPr>
        <w:t xml:space="preserve">Master Data &amp; Governance: SAP MDG (BP, Material, Finance, Custom Objects), MDG Hub, DRF, MDC, Master Data Management (MDM), CRUD-Matrix, System of Record vs. System of Use, Data Governance, Data-Quality-Regeln, HANA Search, Dublettenprüfung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line="252.00000000000003" w:lineRule="auto"/>
        <w:ind w:left="360"/>
        <w:rPr>
          <w:u w:val="none"/>
        </w:rPr>
      </w:pPr>
      <w:r w:rsidDel="00000000" w:rsidR="00000000" w:rsidRPr="00000000">
        <w:rPr>
          <w:rtl w:val="0"/>
        </w:rPr>
        <w:t xml:space="preserve">Entwicklung: ABAP, BRF+, BAdIs, Enhancements, CDS Views, RAP, Fiori Elements, AMDP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line="252.00000000000003" w:lineRule="auto"/>
        <w:ind w:left="360"/>
        <w:rPr>
          <w:u w:val="none"/>
        </w:rPr>
      </w:pPr>
      <w:r w:rsidDel="00000000" w:rsidR="00000000" w:rsidRPr="00000000">
        <w:rPr>
          <w:rtl w:val="0"/>
        </w:rPr>
        <w:t xml:space="preserve">Architektur &amp; Design: Solution Design, Integrationsarchitektur, Enterprise Architecture (wo zutreffend), UML, BPMN, Architektur-Dokumentation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line="252.00000000000003" w:lineRule="auto"/>
        <w:ind w:left="360"/>
        <w:rPr>
          <w:u w:val="none"/>
        </w:rPr>
      </w:pPr>
      <w:r w:rsidDel="00000000" w:rsidR="00000000" w:rsidRPr="00000000">
        <w:rPr>
          <w:rtl w:val="0"/>
        </w:rPr>
        <w:t xml:space="preserve">Tools: Enterprise Architect, LeanIX, ArchiMate, Visio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line="252.00000000000003" w:lineRule="auto"/>
        <w:ind w:left="360"/>
        <w:rPr>
          <w:u w:val="none"/>
        </w:rPr>
      </w:pPr>
      <w:r w:rsidDel="00000000" w:rsidR="00000000" w:rsidRPr="00000000">
        <w:rPr>
          <w:rtl w:val="0"/>
        </w:rPr>
        <w:t xml:space="preserve">Security &amp; Operations: OAuth2, SAML, Fehlerbehandlung &amp; Monitoring, Logging &amp; Alerting, Security by Design</w:t>
      </w:r>
    </w:p>
    <w:p w:rsidR="00000000" w:rsidDel="00000000" w:rsidP="00000000" w:rsidRDefault="00000000" w:rsidRPr="00000000" w14:paraId="00000012">
      <w:pPr>
        <w:spacing w:after="40" w:before="160" w:line="252.00000000000003" w:lineRule="auto"/>
        <w:rPr/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Berufserfahrung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" w:before="80" w:line="252.00000000000003" w:lineRule="auto"/>
        <w:rPr/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Kunde aus der Fertigungsindustrie — Europa | Spezialist Produktstammdaten | Sep 2025 – heute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line="252.00000000000003" w:lineRule="auto"/>
        <w:ind w:left="720" w:hanging="360"/>
        <w:rPr/>
      </w:pPr>
      <w:r w:rsidDel="00000000" w:rsidR="00000000" w:rsidRPr="00000000">
        <w:rPr>
          <w:rtl w:val="0"/>
        </w:rPr>
        <w:t xml:space="preserve">Konzipierte und strukturierte komplexe Stücklisten- und Super-Stücklistenmodelle inkl. Advanced Variant Configuration (AVC) und entwickelte das übergreifende MDG-Integrationskonzept zur konsistenten Verteilung produktrelevanter Stammdaten in S/4HANA und angebundene Systeme.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line="252.00000000000003" w:lineRule="auto"/>
        <w:ind w:left="720" w:hanging="360"/>
        <w:rPr/>
      </w:pPr>
      <w:r w:rsidDel="00000000" w:rsidR="00000000" w:rsidRPr="00000000">
        <w:rPr>
          <w:rtl w:val="0"/>
        </w:rPr>
        <w:t xml:space="preserve">Definierte das SAP-MDG-Produktstammdatenkonzept (Fertigungsprodukte) inkl. Impact-Analysen, Prozessdesign, Business-Rule-Definition, UI-Konzeption sowie Datenreplikation.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line="252.00000000000003" w:lineRule="auto"/>
        <w:ind w:left="720" w:hanging="360"/>
        <w:rPr/>
      </w:pPr>
      <w:r w:rsidDel="00000000" w:rsidR="00000000" w:rsidRPr="00000000">
        <w:rPr>
          <w:rtl w:val="0"/>
        </w:rPr>
        <w:t xml:space="preserve">Leitete das Global-Template-Design für einen zentralen SAP-MDG-Hub, integriert mit S/4HANA (Produkt-/Materialstamm).</w:t>
      </w:r>
    </w:p>
    <w:p w:rsidR="00000000" w:rsidDel="00000000" w:rsidP="00000000" w:rsidRDefault="00000000" w:rsidRPr="00000000" w14:paraId="00000017">
      <w:pPr>
        <w:spacing w:after="0" w:line="252.0000000000000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52.0000000000000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0" w:before="80" w:line="252.00000000000003" w:lineRule="auto"/>
        <w:rPr/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Syngenta Energy — Europa | SAP MDG Integration Lead | August 2025 – Jan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="252.00000000000003" w:lineRule="auto"/>
        <w:ind w:left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Führte das Reverse Engineering und die Stabilisierung einer komplexen MDG-Lösung (UI, Business Rules, Replikation) durch und behob ABAP-Validierungsfehler, Feeder-Class-Probleme sowie Integrationsstörungen mit Ariba SLP, SuccessFactors und ECC-Systemen.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="252.00000000000003" w:lineRule="auto"/>
        <w:ind w:left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Analysierte und behebt Replikationsursachen (Konfigurations-, Validierungs- und Logikfehler), mentorierte Teammitglieder und unterstützte erfolgreich den Go-Live.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="252.00000000000003" w:lineRule="auto"/>
        <w:ind w:left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Verantwortete das Global-Template-Design eines zentralen SAP-MDG-Hubs, integriert mit S/4HANA (Business Partner / Debitoren- und Kreditorenstamm).</w:t>
      </w:r>
    </w:p>
    <w:p w:rsidR="00000000" w:rsidDel="00000000" w:rsidP="00000000" w:rsidRDefault="00000000" w:rsidRPr="00000000" w14:paraId="0000001D">
      <w:pPr>
        <w:spacing w:after="20" w:before="80" w:line="252.00000000000003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Helleniq Energy — Europa |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SAP MDG Lead ABAP / MDC Specialist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 | Jan 2025 – Aug 2025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="252.00000000000003" w:lineRule="auto"/>
        <w:ind w:left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Optimierte HANA-Search-Queries für die MDG-Suche und Dublettenprüfung (Fuzzy Search, Scoring, Performance).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="252.00000000000003" w:lineRule="auto"/>
        <w:ind w:left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Passte Matching-Strategien und Konsolidierungskriterien (Attributgewichtung, Survivorship-Regeln) an.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="252.00000000000003" w:lineRule="auto"/>
        <w:ind w:left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Verantwortete das Global-Template-Design eines zentralen SAP-MDG-Hubs, integriert mit S/4HANA (Business Partner / Debitoren- und Kreditorenstamm).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="252.00000000000003" w:lineRule="auto"/>
        <w:ind w:left="360"/>
      </w:pPr>
      <w:r w:rsidDel="00000000" w:rsidR="00000000" w:rsidRPr="00000000">
        <w:rPr>
          <w:rtl w:val="0"/>
        </w:rPr>
        <w:t xml:space="preserve">Implementierte MDC-Business-Rules (Validierungen, Derivationen, Merge-Logik).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="252.00000000000003" w:lineRule="auto"/>
        <w:ind w:left="360"/>
      </w:pPr>
      <w:r w:rsidDel="00000000" w:rsidR="00000000" w:rsidRPr="00000000">
        <w:rPr>
          <w:rtl w:val="0"/>
        </w:rPr>
        <w:t xml:space="preserve">Integrierte Master-Data-Consolidation-(MDC)-Funktionalitäten in SAP MDG inkl. Replikation und Golden-Record-Logik.</w:t>
      </w:r>
    </w:p>
    <w:p w:rsidR="00000000" w:rsidDel="00000000" w:rsidP="00000000" w:rsidRDefault="00000000" w:rsidRPr="00000000" w14:paraId="00000023">
      <w:pPr>
        <w:spacing w:after="20" w:before="80" w:line="252.00000000000003" w:lineRule="auto"/>
        <w:rPr/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Jungheinrich — Hamburg |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SAP MDG </w:t>
      </w:r>
      <w:r w:rsidDel="00000000" w:rsidR="00000000" w:rsidRPr="00000000">
        <w:rPr>
          <w:b w:val="1"/>
          <w:bCs w:val="1"/>
          <w:rtl w:val="0"/>
        </w:rPr>
        <w:t xml:space="preserve">Architekt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/ Lead ABAP Developer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 | Feb 2024 – Feb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Entwickelte ein skalierbares Framework für Validierungs- und Derivationsregeln (BRF+), ausgelegt für globalen Template-Rollout und projektweite Wiederverwendung.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Definierte Entwicklungsstandards und Governance-Modelle und steuerte fachlich Entwicklerteams.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Konfigurierte und integrierte den Master-Data-Consolidation-(MDC)-Prozess in SAP MDG inkl. Golden-Record-Logik.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Konzipierte und entwickelte eine Geschäftspartner-Hierarchie-Applikation in SAP MDG.</w:t>
      </w:r>
    </w:p>
    <w:p w:rsidR="00000000" w:rsidDel="00000000" w:rsidP="00000000" w:rsidRDefault="00000000" w:rsidRPr="00000000" w14:paraId="00000028">
      <w:pPr>
        <w:spacing w:after="20" w:before="80" w:line="252.00000000000003" w:lineRule="auto"/>
        <w:rPr/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Novartis (via Infosys Consulting) — Basel | Data Manager (S/4HANA Transformation) | Jul 2023 – Dez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Steuerte Datenmigration/MDM-Implementierung; Führung globaler Teams und Sicherstellung von Cutover-Readiness.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Verantwortete Data Quality für BP und Material; Abstimmung über FICO, SD, EAM und MM.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0" w:before="80" w:line="252.00000000000003" w:lineRule="auto"/>
        <w:rPr/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AstraZeneca (via Infosys Consulting) — London | Senior Consultant SAP MDG | Jul 2023 – Dez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Unterstützte MDG-Datenmigration </w:t>
      </w:r>
      <w:r w:rsidDel="00000000" w:rsidR="00000000" w:rsidRPr="00000000">
        <w:rPr>
          <w:rtl w:val="0"/>
        </w:rPr>
        <w:t xml:space="preserve">und -Integrationen;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Anwendung von Best Practices für Governance und Data Quality.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0" w:before="80" w:line="252.00000000000003" w:lineRule="auto"/>
        <w:rPr/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LIXIL (via PwC) — Düsseldorf &amp; Singapur |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SAP MDG Solution Architect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 | Jul 2022 – Jul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Leitete MDG Fiori/MDM-Lösung im Rahmen der S/4HANA Transformation (Supplier/Material Governance).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Standardisierte ABAP Frameworks und entwickelte parallele Workflows </w:t>
      </w:r>
      <w:r w:rsidDel="00000000" w:rsidR="00000000" w:rsidRPr="00000000">
        <w:rPr>
          <w:rtl w:val="0"/>
        </w:rPr>
        <w:t xml:space="preserve">(BRF+/BADIs);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Durchsatz erhöht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Integrierte MDG mit S/4HANA, ECC und Ariba SLP </w:t>
      </w:r>
      <w:r w:rsidDel="00000000" w:rsidR="00000000" w:rsidRPr="00000000">
        <w:rPr>
          <w:rtl w:val="0"/>
        </w:rPr>
        <w:t xml:space="preserve">(IDOCs/SOA);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implementierte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HANA Search/Duplicate Checks.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Integrierte GTS API zur Sanktionslistenprüfung inkl. </w:t>
      </w:r>
      <w:r w:rsidDel="00000000" w:rsidR="00000000" w:rsidRPr="00000000">
        <w:rPr>
          <w:rtl w:val="0"/>
        </w:rPr>
        <w:t xml:space="preserve">UI-Fehlerbehandlung.</w:t>
      </w:r>
    </w:p>
    <w:p w:rsidR="00000000" w:rsidDel="00000000" w:rsidP="00000000" w:rsidRDefault="00000000" w:rsidRPr="00000000" w14:paraId="00000032">
      <w:pPr>
        <w:spacing w:after="20" w:before="80" w:line="252.00000000000003" w:lineRule="auto"/>
        <w:rPr/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Boehringer Ingelheim (via Camelot ITLab) — Ingelheim | SAP MDG ABAP Entwickler / Technical Consultant | Jul 2021 – Jul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Entwickelte kundenspezifische MDG Lösung (User-Defined Objects, MM) inkl. Datenmodell- und UI-Erweiterungen (FPM/Web Dynpro).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Erstellte </w:t>
      </w:r>
      <w:r w:rsidDel="00000000" w:rsidR="00000000" w:rsidRPr="00000000">
        <w:rPr>
          <w:rtl w:val="0"/>
        </w:rPr>
        <w:t xml:space="preserve">CDS-Views/RAP-Objekte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und flexible Workflows </w:t>
      </w:r>
      <w:r w:rsidDel="00000000" w:rsidR="00000000" w:rsidRPr="00000000">
        <w:rPr>
          <w:rtl w:val="0"/>
        </w:rPr>
        <w:t xml:space="preserve">(BRF+/BADIs);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Systemstabilität durch RCA gesichert.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0" w:before="80" w:line="252.00000000000003" w:lineRule="auto"/>
        <w:rPr/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Takeda (via Camelot ITLab) — Mannheim &amp; Tokyo | SAP MDG ABAP Entwickler / Technical Consultant | Jul 2020 – Jul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Erweiterte BP/FICO/MM Datenmodelle und implementierte Rules/Workflows zur Qualitätssteigerung.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Baute OCR- und Chatbot-APIs und integrierte </w:t>
      </w:r>
      <w:r w:rsidDel="00000000" w:rsidR="00000000" w:rsidRPr="00000000">
        <w:rPr>
          <w:rtl w:val="0"/>
        </w:rPr>
        <w:t xml:space="preserve">Dokument Auslese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in MDG Change Requests [Scope bestätigen].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Integrierte SAP MDG mit ECC via IDoc/SOA; entwickelte </w:t>
      </w:r>
      <w:r w:rsidDel="00000000" w:rsidR="00000000" w:rsidRPr="00000000">
        <w:rPr>
          <w:rtl w:val="0"/>
        </w:rPr>
        <w:t xml:space="preserve">Case-Management-Mail Framework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und verbesserte Reaktionszeiten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0" w:before="80" w:line="252.00000000000003" w:lineRule="auto"/>
        <w:rPr/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Weitere Erfahrung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SAP — Walldorf | Werkstudent Global Cloud Team | Sep 2018 – Feb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IBM — Kairo | Financial Services Advisory | Mrz 2016 – Feb 2017 (Umsatzziel 1.000.000 USD erreicht)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40" w:before="160" w:line="252.00000000000003" w:lineRule="auto"/>
        <w:rPr/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Ausbildung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Universität Mannheim — M.Sc., Wirtschaftsinformatik (2017 – 2020)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German University in Cairo — B.Sc., Business Informatics (2013 – 2015)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40" w:before="160" w:line="252.00000000000003" w:lineRule="auto"/>
        <w:rPr/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Sprachen: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(Arabisch C1,Deutsch C1, Englisch C1)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37" w:top="737" w:left="737" w:right="73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