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ESSAM AZZAM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5572125</wp:posOffset>
            </wp:positionH>
            <wp:positionV relativeFrom="paragraph">
              <wp:posOffset>114300</wp:posOffset>
            </wp:positionV>
            <wp:extent cx="1058227" cy="1563291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8227" cy="15632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0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Mannheim, Germany • +49 162 338 9146 • essam.azzam@forte4.de • forte4.de • LinkedIn: essam-azzam-4201b6106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SAP MDG ARCHITECT | LEAD ABAP DEVELOPER | DATA GOVERNANCE (S/4HANA On-Premise &amp; Cloud, BTP)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SAP MDG &amp; S/4HANA Architect</w:t>
      </w:r>
      <w:r w:rsidDel="00000000" w:rsidR="00000000" w:rsidRPr="00000000">
        <w:rPr>
          <w:rtl w:val="0"/>
        </w:rPr>
        <w:t xml:space="preserve"> with 10+ years of experience leading Global Template design and End-to-End Master Data Governance architecture in complex S/4HANA transformation programs across Manufacturing, Pharma, and Oil &amp; Gas industries. Expert in centralized MDG Hub architectures, Master Data Management (MDM) frameworks, and cross-system data distribution strategies (IDoc, DRF, API-based replication). Strong focus on governance operating models, complex business rule design (BRF+, validations, derivations), and impact analysis for global template rollouts. Experienced in stakeholder alignment, steering board participation, and bridging business and IT to ensure scalable data governance, integration stability, and long-term data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12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CORE SKILLS / KEYWORDS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SAP Core: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SAP S/4HANA (primarily On-Premise; Public Cloud &amp; Private Cloud), SAP Business Technology Platform (BTP), SAP Integration Suite (SAP Cloud Integration/CPI, API Management, Event Mesh) </w:t>
      </w:r>
      <w:r w:rsidDel="00000000" w:rsidR="00000000" w:rsidRPr="00000000">
        <w:rPr>
          <w:sz w:val="20"/>
          <w:szCs w:val="20"/>
          <w:rtl w:val="0"/>
        </w:rPr>
        <w:t xml:space="preserve">PLM (Product Lifecycle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Integration Patterns &amp; Protocols: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API-based integration, event-driven architecture, synchronous vs asynchronous integration; OData, REST, SOAP; IDoc, RFC; hybrid integration landscapes (cloud-to-cloud, cloud-to-on-premise)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Master Data &amp; Governance: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SAP MDG (BP, Material/ Prod</w:t>
      </w:r>
      <w:r w:rsidDel="00000000" w:rsidR="00000000" w:rsidRPr="00000000">
        <w:rPr>
          <w:sz w:val="20"/>
          <w:szCs w:val="20"/>
          <w:rtl w:val="0"/>
        </w:rPr>
        <w:t xml:space="preserve">uct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, Finance, Custom </w:t>
      </w:r>
      <w:r w:rsidDel="00000000" w:rsidR="00000000" w:rsidRPr="00000000">
        <w:rPr>
          <w:sz w:val="20"/>
          <w:szCs w:val="20"/>
          <w:rtl w:val="0"/>
        </w:rPr>
        <w:t xml:space="preserve">Data Models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), MDG Hub, DRF, MDC, Master Data Management (MDM), CRUD Matrix, System of Record vs System of Use, Data Governance, Data Quality Rules, HANA Search, Duplicate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Development: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ABAP, BRF+, BAdIs, Enhancements, CDS Views, RAP, Fiori Elements, AMDP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Architecture &amp; Design: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Solution Design, Integration Architecture, Enterprise Architecture (as applicable), UML, BPMN, architecture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Tools: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Enterprise Architect, LeanIX, ArchiMate, Visio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Security &amp; Operations: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OAuth2, SAML, error handling &amp; monitoring, logging &amp; alerting, security by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1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Product Master Data Specialist — Manufacturing Client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| Europe | Sep 2025 –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Defined SAP MDG Product Master concept (</w:t>
      </w:r>
      <w:r w:rsidDel="00000000" w:rsidR="00000000" w:rsidRPr="00000000">
        <w:rPr>
          <w:rtl w:val="0"/>
        </w:rPr>
        <w:t xml:space="preserve">manufacturing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products): impact analysis reports</w:t>
      </w:r>
      <w:r w:rsidDel="00000000" w:rsidR="00000000" w:rsidRPr="00000000">
        <w:rPr>
          <w:rtl w:val="0"/>
        </w:rPr>
        <w:t xml:space="preserve">, processes, business rules, user interface and data replication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sz w:val="20"/>
          <w:szCs w:val="20"/>
          <w:rtl w:val="0"/>
        </w:rPr>
        <w:t xml:space="preserve">Product Lifecycle Management (PLM) concepts like material status 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Led Global Template design for centralized SAP MDG Hub integrated with S/4HANA (Material/ Product Master)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SAP MDG Integration Lead — Syngenta</w:t>
      </w:r>
      <w:r w:rsidDel="00000000" w:rsidR="00000000" w:rsidRPr="00000000">
        <w:rPr>
          <w:sz w:val="22"/>
          <w:szCs w:val="22"/>
          <w:rtl w:val="0"/>
        </w:rPr>
        <w:t xml:space="preserve"> | Europe | August 2025 – jan-2026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Reverse-engineered and stabilized complex MDG solution (UI, business rules, replication), fixing ABAP validations, feeder class issues, and integration failures across Ariba SLP, SuccessFactors, and ECC systems.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Resolved replication root causes (config, validation, and logic errors), mentored team members, and supported successful go-live.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Global Template design for centralized SAP MDG Hub integrated with S/4HANA (Business Partner/ Customer and Vendor Master).</w:t>
      </w:r>
    </w:p>
    <w:p w:rsidR="00000000" w:rsidDel="00000000" w:rsidP="00000000" w:rsidRDefault="00000000" w:rsidRPr="00000000" w14:paraId="00000016">
      <w:pPr>
        <w:spacing w:after="20" w:lin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SAP MDG Lead ABAP / MDC Specialist — Helleniq Energy</w:t>
      </w:r>
      <w:r w:rsidDel="00000000" w:rsidR="00000000" w:rsidRPr="00000000">
        <w:rPr>
          <w:sz w:val="22"/>
          <w:szCs w:val="22"/>
          <w:rtl w:val="0"/>
        </w:rPr>
        <w:t xml:space="preserve"> | Europe | Jan 2025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Built BP business-rules framework (validations/derivations/UI controls) using ABAP + BAdIs.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" w:line="240" w:lineRule="auto"/>
        <w:ind w:left="36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Automated RFQ attachment generation and IDoc segment extraction, reducing manual effort. (Business Partner/ Vendor 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SAP MDG Architect / Lead ABAP Developer — Jungheinrich AG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| Hamburg | Feb 2024 –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centralized SAP MDG hub integrated with S/4HANA for Material Master from blueprint to go-live.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Refactored legacy enhancements; enabled migration continuity for 10+ years of master data and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event-driven replication (ABAP Business Events, OData/CDS) across supply chain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Global Template design for centralized SAP MDG Hub integrated with S/4HANA (Business Partner/ Customer and Vendor Master, Business Partner Hierarchy, Product/ Material Master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Manager, S/4HANA Transformation — Novartis (via Infosys)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| Basel | Jul 2023 – Dec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migration governance and QA for BP/MM and cross-domain objects, ensuring cutover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0" w:lin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SAP MDG Solution Architect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— LIXIL (via PwC)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| Dusseldorf &amp; Singapore | Jul 2022 –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MDG Fiori + MD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delivery; standardized reusable ABAP frameworks and workflows (BRF+/BAdIs).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0" w:line="240" w:lineRule="auto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SAP MDG Technical Consultant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— Boehringer Ingelheim (via Camelot ITLab)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| Ingelheim | Jul 2021 – Jul 2022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" w:line="240" w:lineRule="auto"/>
        <w:ind w:left="36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Designed and delivered end-to-end SAP MDG-MM solutions including custom data model extensions, BRF+ rule frameworks, dynamic parallel workflows (BAdI), FPM/WebDynpro UI enhancements, CDS views development, and integrations with S/4HANA, ECC, and Ariba SLP via IDoc/SOA for governed material and supplier master data (</w:t>
      </w:r>
      <w:r w:rsidDel="00000000" w:rsidR="00000000" w:rsidRPr="00000000">
        <w:rPr>
          <w:rtl w:val="0"/>
        </w:rPr>
        <w:t xml:space="preserve">Product/ Material Master)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0" w:line="240" w:lineRule="auto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SAP MDG Developer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— Takeda (via Camelot ITLab)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| Mannheim &amp; Tokyo | Jul 2020 – Jul 2021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0" w:line="240" w:lineRule="auto"/>
        <w:ind w:left="36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Designed and implemented SAP MDG-F solutions for financial master data (Profit Center, Cost Center, G/L Accounts, and hierarchies) including validations, derivations, workflow configuration, BAdI-based enhancements, and UI customization  (</w:t>
      </w:r>
      <w:r w:rsidDel="00000000" w:rsidR="00000000" w:rsidRPr="00000000">
        <w:rPr>
          <w:rtl w:val="0"/>
        </w:rPr>
        <w:t xml:space="preserve">Finance, Business Partner Master)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Working Student, Global Cloud Team — SAP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| Walldorf | Sep 2018 – Feb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Financial Services Advisory — IBM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| Cairo | Mar 2016 – Feb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1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M.Sc., Wirtschaftsinformatik — Universität Mannheim | 2017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B.Sc., Business Informatics — German University in Cairo | 2013 –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Arabic (</w:t>
      </w:r>
      <w:r w:rsidDel="00000000" w:rsidR="00000000" w:rsidRPr="00000000">
        <w:rPr>
          <w:rtl w:val="0"/>
        </w:rPr>
        <w:t xml:space="preserve">C2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) • German (</w:t>
      </w:r>
      <w:r w:rsidDel="00000000" w:rsidR="00000000" w:rsidRPr="00000000">
        <w:rPr>
          <w:rtl w:val="0"/>
        </w:rPr>
        <w:t xml:space="preserve">C1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) </w:t>
      </w:r>
      <w:r w:rsidDel="00000000" w:rsidR="00000000" w:rsidRPr="00000000">
        <w:rPr>
          <w:rtl w:val="0"/>
        </w:rPr>
        <w:t xml:space="preserve">• English (C1) </w:t>
      </w:r>
    </w:p>
    <w:sectPr>
      <w:headerReference r:id="rId7" w:type="default"/>
      <w:footerReference r:id="rId8" w:type="default"/>
      <w:pgSz w:h="15840" w:w="12240" w:orient="portrait"/>
      <w:pgMar w:bottom="792" w:top="792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