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7343" w14:textId="15677307" w:rsidR="00B05A18" w:rsidRDefault="00B05A18" w:rsidP="00B05A18">
      <w:pPr>
        <w:rPr>
          <w:b/>
          <w:bCs/>
        </w:rPr>
      </w:pPr>
      <w:r w:rsidRPr="00B05A18">
        <w:rPr>
          <w:b/>
          <w:bCs/>
        </w:rPr>
        <w:t>Assignment A3.1 - Generative AI Adoption Strategy</w:t>
      </w:r>
      <w:r>
        <w:rPr>
          <w:b/>
          <w:bCs/>
        </w:rPr>
        <w:t xml:space="preserve"> – Essam Rafie</w:t>
      </w:r>
    </w:p>
    <w:p w14:paraId="2DCD1CBE" w14:textId="10F34BB7" w:rsidR="00290E9E" w:rsidRPr="00290E9E" w:rsidRDefault="00290E9E" w:rsidP="00290E9E">
      <w:pPr>
        <w:rPr>
          <w:b/>
          <w:bCs/>
        </w:rPr>
      </w:pPr>
      <w:r w:rsidRPr="00290E9E">
        <w:rPr>
          <w:b/>
          <w:bCs/>
        </w:rPr>
        <w:t>1. Executive Summary</w:t>
      </w:r>
    </w:p>
    <w:p w14:paraId="30D48336" w14:textId="5CF8848D" w:rsidR="00290E9E" w:rsidRPr="00290E9E" w:rsidRDefault="00290E9E" w:rsidP="00290E9E">
      <w:r w:rsidRPr="00290E9E">
        <w:t xml:space="preserve">This strategy proposes a comprehensive generative and agentic AI adoption roadmap for Saudi Aramco Upstream, focusing on Exploration and technical workflows that depend on large-scale data, HPC infrastructure, and specialized domain expertise. The strategy positions generative AI not as a standalone productivity tool but as a core digital </w:t>
      </w:r>
      <w:r w:rsidR="00E72000" w:rsidRPr="00290E9E">
        <w:t xml:space="preserve">capability </w:t>
      </w:r>
      <w:r w:rsidR="00E72000">
        <w:t>that</w:t>
      </w:r>
      <w:r w:rsidRPr="00290E9E">
        <w:t xml:space="preserve"> enhances knowledge access, accelerates upstream technical cycles, and enables workflow-level orchestration through agentic systems. Key recommendations include adopting a phased implementation model starting with low-risk “quick wins,” deploying a hybrid AI architecture combining on-prem infrastructure with sovereign Saudi cloud (</w:t>
      </w:r>
      <w:proofErr w:type="spellStart"/>
      <w:r w:rsidRPr="00290E9E">
        <w:t>Humain</w:t>
      </w:r>
      <w:proofErr w:type="spellEnd"/>
      <w:r w:rsidRPr="00290E9E">
        <w:t>) and selective global cloud services (GCP), standardizing agent tooling using Model Context Protocol (MCP), and embedding strong governance aligned with Saudi Aramco cybersecurity standards (SACS) and Saudi National Cybersecurity Authority (NCA) regulations. Expected benefits include faster access to enterprise knowledge, reduced project turnaround times, improved decision quality, preservation of institutional expertise, and long-term competitive advantage through proprietary AI-enabled subsurface intelligence assets (Deloitte, 2025; National Cybersecurity Authority, n.d.).</w:t>
      </w:r>
    </w:p>
    <w:p w14:paraId="022C4F0E" w14:textId="77777777" w:rsidR="00290E9E" w:rsidRPr="00290E9E" w:rsidRDefault="00290E9E" w:rsidP="00290E9E">
      <w:pPr>
        <w:rPr>
          <w:b/>
          <w:bCs/>
        </w:rPr>
      </w:pPr>
      <w:r w:rsidRPr="00290E9E">
        <w:rPr>
          <w:b/>
          <w:bCs/>
        </w:rPr>
        <w:t>2. Situational Analysis</w:t>
      </w:r>
    </w:p>
    <w:p w14:paraId="78E189AD" w14:textId="77777777" w:rsidR="00290E9E" w:rsidRPr="00290E9E" w:rsidRDefault="00290E9E" w:rsidP="00290E9E">
      <w:r w:rsidRPr="00290E9E">
        <w:t>The upstream energy industry exhibits strong readiness for AI adoption due to high data volumes, complex decision environments, and mature digital infrastructure. According to Deloitte’s vertical AI readiness framework, industry preparedness depends on data maturity, leadership commitment, regulatory environment, talent readiness, and technology infrastructure (Deloitte, 2025). Saudi Aramco demonstrates advanced readiness across these dimensions, particularly in data availability, computing capabilities, and regulatory compliance.</w:t>
      </w:r>
    </w:p>
    <w:p w14:paraId="7F6B9786" w14:textId="77777777" w:rsidR="00290E9E" w:rsidRPr="00290E9E" w:rsidRDefault="00290E9E" w:rsidP="00290E9E">
      <w:r w:rsidRPr="00290E9E">
        <w:t>Saudi Aramco has already invested heavily in HPC clusters, enterprise data platforms, and digital transformation initiatives. However, current AI adoption remains fragmented and largely use-case driven, with limited enterprise-wide orchestration, agent-based automation, or standardized AI platforms. Many implementations remain siloed within departments, limiting reuse, scalability, and governance consistency.</w:t>
      </w:r>
    </w:p>
    <w:p w14:paraId="5DA0F32D" w14:textId="77777777" w:rsidR="00290E9E" w:rsidRPr="00290E9E" w:rsidRDefault="00290E9E" w:rsidP="00290E9E">
      <w:r w:rsidRPr="00290E9E">
        <w:t>Key challenges include workforce skill gaps, integration complexity between AI services and proprietary systems, strict cybersecurity and data sovereignty requirements, and organizational resistance to automation. These challenges require AI adoption to be treated as a strategic transformation program rather than isolated technical experimentation (Microsoft, n.d.).</w:t>
      </w:r>
    </w:p>
    <w:p w14:paraId="0205D262" w14:textId="77777777" w:rsidR="00290E9E" w:rsidRPr="00290E9E" w:rsidRDefault="00290E9E" w:rsidP="00290E9E">
      <w:pPr>
        <w:rPr>
          <w:b/>
          <w:bCs/>
        </w:rPr>
      </w:pPr>
      <w:r w:rsidRPr="00290E9E">
        <w:rPr>
          <w:b/>
          <w:bCs/>
        </w:rPr>
        <w:lastRenderedPageBreak/>
        <w:t>3. Proposed AI Solutions</w:t>
      </w:r>
    </w:p>
    <w:p w14:paraId="3464ADD4" w14:textId="77777777" w:rsidR="00290E9E" w:rsidRPr="00290E9E" w:rsidRDefault="00290E9E" w:rsidP="00290E9E">
      <w:pPr>
        <w:rPr>
          <w:b/>
          <w:bCs/>
        </w:rPr>
      </w:pPr>
      <w:r w:rsidRPr="00290E9E">
        <w:rPr>
          <w:b/>
          <w:bCs/>
        </w:rPr>
        <w:t>Phase 1 – Low-Hanging Fruit</w:t>
      </w:r>
    </w:p>
    <w:p w14:paraId="156D7FA5" w14:textId="77777777" w:rsidR="00290E9E" w:rsidRPr="00290E9E" w:rsidRDefault="00290E9E" w:rsidP="00290E9E">
      <w:r w:rsidRPr="00290E9E">
        <w:t>Phase 1 focuses on immediate AI opportunities that deliver quick value with minimal operational risk. The objective is to demonstrate ROI, build user trust, and establish foundational capabilities such as retrieval-augmented generation (RAG), secure access, and enterprise user experience.</w:t>
      </w:r>
    </w:p>
    <w:p w14:paraId="24C6A2C7" w14:textId="77777777" w:rsidR="00290E9E" w:rsidRPr="00290E9E" w:rsidRDefault="00290E9E" w:rsidP="00290E9E">
      <w:r w:rsidRPr="00290E9E">
        <w:t>A primary initiative is deploying internal AI assistants that provide natural language access to Saudi Aramco General Instructions (GI), engineering standards, cybersecurity policies, and operational procedures such as data shipment and data consignment workflows. These assistants use RAG to return grounded answers linked to authoritative internal sources, significantly reducing time spent searching documentation and improving compliance consistency (Lewis et al., 2023).</w:t>
      </w:r>
    </w:p>
    <w:p w14:paraId="735F6ADB" w14:textId="77777777" w:rsidR="00290E9E" w:rsidRPr="00290E9E" w:rsidRDefault="00290E9E" w:rsidP="00290E9E">
      <w:r w:rsidRPr="00290E9E">
        <w:t>Additional initiatives include document intelligence for summarizing technical reports and generating management briefs, and engineering copilots aligned with SACS and NCA standards to support secure system design and vendor evaluation (National Cybersecurity Authority, n.d.; Saudi Aramco, n.d.).</w:t>
      </w:r>
    </w:p>
    <w:p w14:paraId="2E934719" w14:textId="77777777" w:rsidR="00290E9E" w:rsidRPr="00290E9E" w:rsidRDefault="00290E9E" w:rsidP="00290E9E">
      <w:pPr>
        <w:rPr>
          <w:b/>
          <w:bCs/>
        </w:rPr>
      </w:pPr>
      <w:r w:rsidRPr="00290E9E">
        <w:rPr>
          <w:b/>
          <w:bCs/>
        </w:rPr>
        <w:t>Phase 2 – Strategic Expansion</w:t>
      </w:r>
    </w:p>
    <w:p w14:paraId="631B6784" w14:textId="77777777" w:rsidR="00290E9E" w:rsidRPr="00290E9E" w:rsidRDefault="00290E9E" w:rsidP="00290E9E">
      <w:r w:rsidRPr="00290E9E">
        <w:t>Phase 2 integrates AI into core upstream workflows where AI directly influences technical outcomes and strategic decisions. Priority areas include seismic imaging, reservoir modeling, drilling planning, and production optimization. AI systems in this phase act as decision-support tools that enhance expert reasoning, accelerate analysis cycles, and enable rapid scenario exploration.</w:t>
      </w:r>
    </w:p>
    <w:p w14:paraId="2D5F2033" w14:textId="77777777" w:rsidR="00290E9E" w:rsidRPr="00290E9E" w:rsidRDefault="00290E9E" w:rsidP="00290E9E">
      <w:pPr>
        <w:rPr>
          <w:b/>
          <w:bCs/>
        </w:rPr>
      </w:pPr>
      <w:r w:rsidRPr="00290E9E">
        <w:rPr>
          <w:b/>
          <w:bCs/>
        </w:rPr>
        <w:t>Agentic AI Opportunities</w:t>
      </w:r>
    </w:p>
    <w:p w14:paraId="356317EC" w14:textId="77777777" w:rsidR="00290E9E" w:rsidRPr="00290E9E" w:rsidRDefault="00290E9E" w:rsidP="00290E9E">
      <w:r w:rsidRPr="00290E9E">
        <w:t xml:space="preserve">Agentic AI represents the most transformative layer of the strategy. Unlike single-turn assistants, agentic systems execute multi-step workflows, invoke tools, and coordinate tasks under human supervision. Examples include autonomous seismic agents that ingest new data and monitor imaging pipelines, </w:t>
      </w:r>
      <w:proofErr w:type="gramStart"/>
      <w:r w:rsidRPr="00290E9E">
        <w:t>drilling</w:t>
      </w:r>
      <w:proofErr w:type="gramEnd"/>
      <w:r w:rsidRPr="00290E9E">
        <w:t xml:space="preserve"> planning agents that generate ranked well designs, and capital planning agents that synthesize technical and financial scenarios.</w:t>
      </w:r>
    </w:p>
    <w:p w14:paraId="359998F1" w14:textId="77777777" w:rsidR="00290E9E" w:rsidRPr="00290E9E" w:rsidRDefault="00290E9E" w:rsidP="00290E9E">
      <w:r w:rsidRPr="00290E9E">
        <w:t>To scale agentic systems responsibly, the strategy adopts Model Context Protocol (MCP) to standardize how agents interact with tools, data sources, and each other. MCP enables modular agent-to-agent communication and auditable tool invocation, ensuring maintainability and governance (Raghuvanshi, 2025).</w:t>
      </w:r>
    </w:p>
    <w:p w14:paraId="608D3814" w14:textId="77777777" w:rsidR="00290E9E" w:rsidRPr="00290E9E" w:rsidRDefault="00290E9E" w:rsidP="00290E9E">
      <w:pPr>
        <w:rPr>
          <w:b/>
          <w:bCs/>
        </w:rPr>
      </w:pPr>
      <w:r w:rsidRPr="00290E9E">
        <w:rPr>
          <w:b/>
          <w:bCs/>
        </w:rPr>
        <w:t>Tool Selection – Hybrid AI Power Stack</w:t>
      </w:r>
    </w:p>
    <w:p w14:paraId="24AD5200" w14:textId="77777777" w:rsidR="00290E9E" w:rsidRPr="00290E9E" w:rsidRDefault="00290E9E" w:rsidP="00290E9E">
      <w:r w:rsidRPr="00290E9E">
        <w:lastRenderedPageBreak/>
        <w:t xml:space="preserve">The AI platform follows </w:t>
      </w:r>
      <w:proofErr w:type="gramStart"/>
      <w:r w:rsidRPr="00290E9E">
        <w:t>a hybrid</w:t>
      </w:r>
      <w:proofErr w:type="gramEnd"/>
      <w:r w:rsidRPr="00290E9E">
        <w:t xml:space="preserve"> architecture. Sensitive workloads are hosted on-prem, sovereign workloads on </w:t>
      </w:r>
      <w:proofErr w:type="spellStart"/>
      <w:r w:rsidRPr="00290E9E">
        <w:t>Humain</w:t>
      </w:r>
      <w:proofErr w:type="spellEnd"/>
      <w:r w:rsidRPr="00290E9E">
        <w:t>, and scalable analytics on GCP. Foundation models include regional models such as ALLAM for Arabic and sovereign use cases, and global models such as Gemini for multimodal reasoning where permitted (Hugging Face, n.d.; Google Cloud, n.d.).</w:t>
      </w:r>
    </w:p>
    <w:p w14:paraId="282F91B5" w14:textId="77777777" w:rsidR="00290E9E" w:rsidRPr="00290E9E" w:rsidRDefault="00290E9E" w:rsidP="00290E9E">
      <w:r w:rsidRPr="00290E9E">
        <w:t xml:space="preserve">Agent orchestration is handled through </w:t>
      </w:r>
      <w:proofErr w:type="spellStart"/>
      <w:r w:rsidRPr="00290E9E">
        <w:t>LangChain</w:t>
      </w:r>
      <w:proofErr w:type="spellEnd"/>
      <w:r w:rsidRPr="00290E9E">
        <w:t xml:space="preserve"> and </w:t>
      </w:r>
      <w:proofErr w:type="spellStart"/>
      <w:r w:rsidRPr="00290E9E">
        <w:t>AutoGen</w:t>
      </w:r>
      <w:proofErr w:type="spellEnd"/>
      <w:r w:rsidRPr="00290E9E">
        <w:t xml:space="preserve">, with MCP-based tooling. Vector retrieval is implemented using PostgreSQL with </w:t>
      </w:r>
      <w:proofErr w:type="spellStart"/>
      <w:r w:rsidRPr="00290E9E">
        <w:t>pgvector</w:t>
      </w:r>
      <w:proofErr w:type="spellEnd"/>
      <w:r w:rsidRPr="00290E9E">
        <w:t xml:space="preserve"> or </w:t>
      </w:r>
      <w:proofErr w:type="spellStart"/>
      <w:r w:rsidRPr="00290E9E">
        <w:t>Qdrant</w:t>
      </w:r>
      <w:proofErr w:type="spellEnd"/>
      <w:r w:rsidRPr="00290E9E">
        <w:t xml:space="preserve">, while document parsing relies on Unstructured.io or </w:t>
      </w:r>
      <w:proofErr w:type="spellStart"/>
      <w:r w:rsidRPr="00290E9E">
        <w:t>Docling</w:t>
      </w:r>
      <w:proofErr w:type="spellEnd"/>
      <w:r w:rsidRPr="00290E9E">
        <w:t xml:space="preserve">. Open </w:t>
      </w:r>
      <w:proofErr w:type="spellStart"/>
      <w:r w:rsidRPr="00290E9E">
        <w:t>WebUI</w:t>
      </w:r>
      <w:proofErr w:type="spellEnd"/>
      <w:r w:rsidRPr="00290E9E">
        <w:t xml:space="preserve"> Enterprise serves as the unified enterprise frontend, rebranded to preserve Saudi Aramco identity and enforce role-based access (Open </w:t>
      </w:r>
      <w:proofErr w:type="spellStart"/>
      <w:r w:rsidRPr="00290E9E">
        <w:t>WebUI</w:t>
      </w:r>
      <w:proofErr w:type="spellEnd"/>
      <w:r w:rsidRPr="00290E9E">
        <w:t xml:space="preserve">, n.d.; </w:t>
      </w:r>
      <w:proofErr w:type="spellStart"/>
      <w:r w:rsidRPr="00290E9E">
        <w:t>Docling</w:t>
      </w:r>
      <w:proofErr w:type="spellEnd"/>
      <w:r w:rsidRPr="00290E9E">
        <w:t>, n.d.; Unstructured, n.d.).</w:t>
      </w:r>
    </w:p>
    <w:p w14:paraId="410AD224" w14:textId="77777777" w:rsidR="00290E9E" w:rsidRPr="00290E9E" w:rsidRDefault="00290E9E" w:rsidP="00290E9E">
      <w:pPr>
        <w:rPr>
          <w:b/>
          <w:bCs/>
        </w:rPr>
      </w:pPr>
      <w:r w:rsidRPr="00290E9E">
        <w:rPr>
          <w:b/>
          <w:bCs/>
        </w:rPr>
        <w:t>4. Workforce Adaptation Plan</w:t>
      </w:r>
    </w:p>
    <w:p w14:paraId="572C95BB" w14:textId="77777777" w:rsidR="00290E9E" w:rsidRPr="00290E9E" w:rsidRDefault="00290E9E" w:rsidP="00290E9E">
      <w:r w:rsidRPr="00290E9E">
        <w:t>AI adoption requires significant workforce transformation. Training is structured across three levels: foundational AI literacy for all staff, intermediate prompt engineering and RAG interaction for engineers and analysts, and advanced platform engineering skills including microservice architecture, API design, containerization, and agent orchestration.</w:t>
      </w:r>
    </w:p>
    <w:p w14:paraId="6478FAED" w14:textId="77777777" w:rsidR="00290E9E" w:rsidRPr="00290E9E" w:rsidRDefault="00290E9E" w:rsidP="00290E9E">
      <w:r w:rsidRPr="00290E9E">
        <w:t>New roles emerge, including AI Product Owner, AI Platform Engineer, AI Solutions Architect, Agent Supervisor, and AI Safety and Governance Officer. These roles ensure technical scalability, ethical oversight, and regulatory compliance.</w:t>
      </w:r>
    </w:p>
    <w:p w14:paraId="103F47B1" w14:textId="77777777" w:rsidR="00290E9E" w:rsidRPr="00290E9E" w:rsidRDefault="00290E9E" w:rsidP="00290E9E">
      <w:r w:rsidRPr="00290E9E">
        <w:t>The following role mapping illustrates how existing roles within Saudi Aramco’s Exploration Application Services Department (EASD) can evolve across different levels of AI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915"/>
        <w:gridCol w:w="4723"/>
      </w:tblGrid>
      <w:tr w:rsidR="00290E9E" w:rsidRPr="00290E9E" w14:paraId="7B5EB19B" w14:textId="77777777">
        <w:trPr>
          <w:tblHeader/>
          <w:tblCellSpacing w:w="15" w:type="dxa"/>
        </w:trPr>
        <w:tc>
          <w:tcPr>
            <w:tcW w:w="0" w:type="auto"/>
            <w:vAlign w:val="center"/>
            <w:hideMark/>
          </w:tcPr>
          <w:p w14:paraId="66AE12DC" w14:textId="77777777" w:rsidR="00290E9E" w:rsidRPr="00290E9E" w:rsidRDefault="00290E9E" w:rsidP="00290E9E">
            <w:pPr>
              <w:rPr>
                <w:b/>
                <w:bCs/>
              </w:rPr>
            </w:pPr>
            <w:r w:rsidRPr="00290E9E">
              <w:rPr>
                <w:b/>
                <w:bCs/>
              </w:rPr>
              <w:t>Role</w:t>
            </w:r>
          </w:p>
        </w:tc>
        <w:tc>
          <w:tcPr>
            <w:tcW w:w="0" w:type="auto"/>
            <w:vAlign w:val="center"/>
            <w:hideMark/>
          </w:tcPr>
          <w:p w14:paraId="3F167FA7" w14:textId="77777777" w:rsidR="00290E9E" w:rsidRPr="00290E9E" w:rsidRDefault="00290E9E" w:rsidP="00290E9E">
            <w:pPr>
              <w:rPr>
                <w:b/>
                <w:bCs/>
              </w:rPr>
            </w:pPr>
            <w:r w:rsidRPr="00290E9E">
              <w:rPr>
                <w:b/>
                <w:bCs/>
              </w:rPr>
              <w:t>AI Interaction Level</w:t>
            </w:r>
          </w:p>
        </w:tc>
        <w:tc>
          <w:tcPr>
            <w:tcW w:w="0" w:type="auto"/>
            <w:vAlign w:val="center"/>
            <w:hideMark/>
          </w:tcPr>
          <w:p w14:paraId="5D2BFB90" w14:textId="77777777" w:rsidR="00290E9E" w:rsidRPr="00290E9E" w:rsidRDefault="00290E9E" w:rsidP="00290E9E">
            <w:pPr>
              <w:rPr>
                <w:b/>
                <w:bCs/>
              </w:rPr>
            </w:pPr>
            <w:r w:rsidRPr="00290E9E">
              <w:rPr>
                <w:b/>
                <w:bCs/>
              </w:rPr>
              <w:t>Key Responsibilities</w:t>
            </w:r>
          </w:p>
        </w:tc>
      </w:tr>
      <w:tr w:rsidR="00290E9E" w:rsidRPr="00290E9E" w14:paraId="49FC4209" w14:textId="77777777">
        <w:trPr>
          <w:tblCellSpacing w:w="15" w:type="dxa"/>
        </w:trPr>
        <w:tc>
          <w:tcPr>
            <w:tcW w:w="0" w:type="auto"/>
            <w:vAlign w:val="center"/>
            <w:hideMark/>
          </w:tcPr>
          <w:p w14:paraId="7AD06F88" w14:textId="77777777" w:rsidR="00290E9E" w:rsidRPr="00290E9E" w:rsidRDefault="00290E9E" w:rsidP="00290E9E">
            <w:r w:rsidRPr="00290E9E">
              <w:t>Exploration System Analyst I</w:t>
            </w:r>
          </w:p>
        </w:tc>
        <w:tc>
          <w:tcPr>
            <w:tcW w:w="0" w:type="auto"/>
            <w:vAlign w:val="center"/>
            <w:hideMark/>
          </w:tcPr>
          <w:p w14:paraId="2953A7B9" w14:textId="77777777" w:rsidR="00290E9E" w:rsidRPr="00290E9E" w:rsidRDefault="00290E9E" w:rsidP="00290E9E">
            <w:r w:rsidRPr="00290E9E">
              <w:t>Low</w:t>
            </w:r>
          </w:p>
        </w:tc>
        <w:tc>
          <w:tcPr>
            <w:tcW w:w="0" w:type="auto"/>
            <w:vAlign w:val="center"/>
            <w:hideMark/>
          </w:tcPr>
          <w:p w14:paraId="09562CAB" w14:textId="77777777" w:rsidR="00290E9E" w:rsidRPr="00290E9E" w:rsidRDefault="00290E9E" w:rsidP="00290E9E">
            <w:r w:rsidRPr="00290E9E">
              <w:t>Use AI assistants for knowledge access and summaries</w:t>
            </w:r>
          </w:p>
        </w:tc>
      </w:tr>
      <w:tr w:rsidR="00290E9E" w:rsidRPr="00290E9E" w14:paraId="733F93D1" w14:textId="77777777">
        <w:trPr>
          <w:tblCellSpacing w:w="15" w:type="dxa"/>
        </w:trPr>
        <w:tc>
          <w:tcPr>
            <w:tcW w:w="0" w:type="auto"/>
            <w:vAlign w:val="center"/>
            <w:hideMark/>
          </w:tcPr>
          <w:p w14:paraId="6D7E29A9" w14:textId="77777777" w:rsidR="00290E9E" w:rsidRPr="00290E9E" w:rsidRDefault="00290E9E" w:rsidP="00290E9E">
            <w:r w:rsidRPr="00290E9E">
              <w:t>Exploration System Analyst II</w:t>
            </w:r>
          </w:p>
        </w:tc>
        <w:tc>
          <w:tcPr>
            <w:tcW w:w="0" w:type="auto"/>
            <w:vAlign w:val="center"/>
            <w:hideMark/>
          </w:tcPr>
          <w:p w14:paraId="1C1122CC" w14:textId="77777777" w:rsidR="00290E9E" w:rsidRPr="00290E9E" w:rsidRDefault="00290E9E" w:rsidP="00290E9E">
            <w:r w:rsidRPr="00290E9E">
              <w:t>Medium</w:t>
            </w:r>
          </w:p>
        </w:tc>
        <w:tc>
          <w:tcPr>
            <w:tcW w:w="0" w:type="auto"/>
            <w:vAlign w:val="center"/>
            <w:hideMark/>
          </w:tcPr>
          <w:p w14:paraId="58709CE3" w14:textId="77777777" w:rsidR="00290E9E" w:rsidRPr="00290E9E" w:rsidRDefault="00290E9E" w:rsidP="00290E9E">
            <w:r w:rsidRPr="00290E9E">
              <w:t>Use copilots for reporting and workflow support</w:t>
            </w:r>
          </w:p>
        </w:tc>
      </w:tr>
      <w:tr w:rsidR="00290E9E" w:rsidRPr="00290E9E" w14:paraId="40AADC22" w14:textId="77777777">
        <w:trPr>
          <w:tblCellSpacing w:w="15" w:type="dxa"/>
        </w:trPr>
        <w:tc>
          <w:tcPr>
            <w:tcW w:w="0" w:type="auto"/>
            <w:vAlign w:val="center"/>
            <w:hideMark/>
          </w:tcPr>
          <w:p w14:paraId="6916B395" w14:textId="77777777" w:rsidR="00290E9E" w:rsidRPr="00290E9E" w:rsidRDefault="00290E9E" w:rsidP="00290E9E">
            <w:r w:rsidRPr="00290E9E">
              <w:t>Exploration System Analyst III</w:t>
            </w:r>
          </w:p>
        </w:tc>
        <w:tc>
          <w:tcPr>
            <w:tcW w:w="0" w:type="auto"/>
            <w:vAlign w:val="center"/>
            <w:hideMark/>
          </w:tcPr>
          <w:p w14:paraId="26F4424F" w14:textId="77777777" w:rsidR="00290E9E" w:rsidRPr="00290E9E" w:rsidRDefault="00290E9E" w:rsidP="00290E9E">
            <w:r w:rsidRPr="00290E9E">
              <w:t>Medium–High</w:t>
            </w:r>
          </w:p>
        </w:tc>
        <w:tc>
          <w:tcPr>
            <w:tcW w:w="0" w:type="auto"/>
            <w:vAlign w:val="center"/>
            <w:hideMark/>
          </w:tcPr>
          <w:p w14:paraId="03A088C0" w14:textId="77777777" w:rsidR="00290E9E" w:rsidRPr="00290E9E" w:rsidRDefault="00290E9E" w:rsidP="00290E9E">
            <w:r w:rsidRPr="00290E9E">
              <w:t>Integrate AI microservices and validate RAG</w:t>
            </w:r>
          </w:p>
        </w:tc>
      </w:tr>
      <w:tr w:rsidR="00290E9E" w:rsidRPr="00290E9E" w14:paraId="1DFE2FD5" w14:textId="77777777">
        <w:trPr>
          <w:tblCellSpacing w:w="15" w:type="dxa"/>
        </w:trPr>
        <w:tc>
          <w:tcPr>
            <w:tcW w:w="0" w:type="auto"/>
            <w:vAlign w:val="center"/>
            <w:hideMark/>
          </w:tcPr>
          <w:p w14:paraId="75CBC889" w14:textId="77777777" w:rsidR="00290E9E" w:rsidRPr="00290E9E" w:rsidRDefault="00290E9E" w:rsidP="00290E9E">
            <w:r w:rsidRPr="00290E9E">
              <w:t>Exploration System Lead</w:t>
            </w:r>
          </w:p>
        </w:tc>
        <w:tc>
          <w:tcPr>
            <w:tcW w:w="0" w:type="auto"/>
            <w:vAlign w:val="center"/>
            <w:hideMark/>
          </w:tcPr>
          <w:p w14:paraId="25D914DA" w14:textId="77777777" w:rsidR="00290E9E" w:rsidRPr="00290E9E" w:rsidRDefault="00290E9E" w:rsidP="00290E9E">
            <w:r w:rsidRPr="00290E9E">
              <w:t>High</w:t>
            </w:r>
          </w:p>
        </w:tc>
        <w:tc>
          <w:tcPr>
            <w:tcW w:w="0" w:type="auto"/>
            <w:vAlign w:val="center"/>
            <w:hideMark/>
          </w:tcPr>
          <w:p w14:paraId="1401A406" w14:textId="77777777" w:rsidR="00290E9E" w:rsidRPr="00290E9E" w:rsidRDefault="00290E9E" w:rsidP="00290E9E">
            <w:r w:rsidRPr="00290E9E">
              <w:t>Lead AI adoption and workflow integration</w:t>
            </w:r>
          </w:p>
        </w:tc>
      </w:tr>
      <w:tr w:rsidR="00290E9E" w:rsidRPr="00290E9E" w14:paraId="6A6E928D" w14:textId="77777777">
        <w:trPr>
          <w:tblCellSpacing w:w="15" w:type="dxa"/>
        </w:trPr>
        <w:tc>
          <w:tcPr>
            <w:tcW w:w="0" w:type="auto"/>
            <w:vAlign w:val="center"/>
            <w:hideMark/>
          </w:tcPr>
          <w:p w14:paraId="3B7DB3F4" w14:textId="77777777" w:rsidR="00290E9E" w:rsidRPr="00290E9E" w:rsidRDefault="00290E9E" w:rsidP="00290E9E">
            <w:r w:rsidRPr="00290E9E">
              <w:lastRenderedPageBreak/>
              <w:t>Exploration System Specialist</w:t>
            </w:r>
          </w:p>
        </w:tc>
        <w:tc>
          <w:tcPr>
            <w:tcW w:w="0" w:type="auto"/>
            <w:vAlign w:val="center"/>
            <w:hideMark/>
          </w:tcPr>
          <w:p w14:paraId="606D6C9C" w14:textId="77777777" w:rsidR="00290E9E" w:rsidRPr="00290E9E" w:rsidRDefault="00290E9E" w:rsidP="00290E9E">
            <w:r w:rsidRPr="00290E9E">
              <w:t>Very High</w:t>
            </w:r>
          </w:p>
        </w:tc>
        <w:tc>
          <w:tcPr>
            <w:tcW w:w="0" w:type="auto"/>
            <w:vAlign w:val="center"/>
            <w:hideMark/>
          </w:tcPr>
          <w:p w14:paraId="60EC75C3" w14:textId="77777777" w:rsidR="00290E9E" w:rsidRPr="00290E9E" w:rsidRDefault="00290E9E" w:rsidP="00290E9E">
            <w:r w:rsidRPr="00290E9E">
              <w:t>Architect enterprise AI platforms</w:t>
            </w:r>
          </w:p>
        </w:tc>
      </w:tr>
      <w:tr w:rsidR="00290E9E" w:rsidRPr="00290E9E" w14:paraId="3B594338" w14:textId="77777777">
        <w:trPr>
          <w:tblCellSpacing w:w="15" w:type="dxa"/>
        </w:trPr>
        <w:tc>
          <w:tcPr>
            <w:tcW w:w="0" w:type="auto"/>
            <w:vAlign w:val="center"/>
            <w:hideMark/>
          </w:tcPr>
          <w:p w14:paraId="2EF92DD3" w14:textId="77777777" w:rsidR="00290E9E" w:rsidRPr="00290E9E" w:rsidRDefault="00290E9E" w:rsidP="00290E9E">
            <w:r w:rsidRPr="00290E9E">
              <w:t>Exploration System Consultant</w:t>
            </w:r>
          </w:p>
        </w:tc>
        <w:tc>
          <w:tcPr>
            <w:tcW w:w="0" w:type="auto"/>
            <w:vAlign w:val="center"/>
            <w:hideMark/>
          </w:tcPr>
          <w:p w14:paraId="285FC222" w14:textId="77777777" w:rsidR="00290E9E" w:rsidRPr="00290E9E" w:rsidRDefault="00290E9E" w:rsidP="00290E9E">
            <w:r w:rsidRPr="00290E9E">
              <w:t>Very High</w:t>
            </w:r>
          </w:p>
        </w:tc>
        <w:tc>
          <w:tcPr>
            <w:tcW w:w="0" w:type="auto"/>
            <w:vAlign w:val="center"/>
            <w:hideMark/>
          </w:tcPr>
          <w:p w14:paraId="7CA75AF4" w14:textId="77777777" w:rsidR="00290E9E" w:rsidRPr="00290E9E" w:rsidRDefault="00290E9E" w:rsidP="00290E9E">
            <w:r w:rsidRPr="00290E9E">
              <w:t>Define strategic AI governance</w:t>
            </w:r>
          </w:p>
        </w:tc>
      </w:tr>
    </w:tbl>
    <w:p w14:paraId="6A74897E" w14:textId="77777777" w:rsidR="00290E9E" w:rsidRPr="00290E9E" w:rsidRDefault="00290E9E" w:rsidP="00290E9E">
      <w:r w:rsidRPr="00290E9E">
        <w:t>Organizational culture must emphasize human-in-the-loop decision-making, explainability, and accountability to ensure AI augments rather than replaces expertise (Microsoft, n.d.).</w:t>
      </w:r>
    </w:p>
    <w:p w14:paraId="03A9DAD6" w14:textId="77777777" w:rsidR="00290E9E" w:rsidRPr="00290E9E" w:rsidRDefault="00290E9E" w:rsidP="00290E9E">
      <w:pPr>
        <w:rPr>
          <w:b/>
          <w:bCs/>
        </w:rPr>
      </w:pPr>
      <w:r w:rsidRPr="00290E9E">
        <w:rPr>
          <w:b/>
          <w:bCs/>
        </w:rPr>
        <w:t>5. Business Model Innovation</w:t>
      </w:r>
    </w:p>
    <w:p w14:paraId="263CFDE3" w14:textId="77777777" w:rsidR="00290E9E" w:rsidRPr="00290E9E" w:rsidRDefault="00290E9E" w:rsidP="00290E9E">
      <w:r w:rsidRPr="00290E9E">
        <w:t>Generative AI enables Saudi Aramco to evolve into a digital intelligence enterprise by embedding AI into exploration platforms, digital twins, and knowledge systems. This aligns with observed enterprise transformations such as UPS, where AI reorganizes end-to-end decision loops across complex networks (</w:t>
      </w:r>
      <w:proofErr w:type="spellStart"/>
      <w:r w:rsidRPr="00290E9E">
        <w:t>Echenard</w:t>
      </w:r>
      <w:proofErr w:type="spellEnd"/>
      <w:r w:rsidRPr="00290E9E">
        <w:t>, 2025).</w:t>
      </w:r>
    </w:p>
    <w:p w14:paraId="0CE4C582" w14:textId="77777777" w:rsidR="00290E9E" w:rsidRPr="00290E9E" w:rsidRDefault="00290E9E" w:rsidP="00290E9E">
      <w:r w:rsidRPr="00290E9E">
        <w:t>A major innovation is the development of generative diffusion models for subsurface and basin-scale modeling. These models generate multiple plausible geological realizations, enabling probabilistic exploration strategies and preservation of institutional geological knowledge. Over time, these models become proprietary digital assets that provide long-term competitive advantage.</w:t>
      </w:r>
    </w:p>
    <w:p w14:paraId="3F79D01D" w14:textId="77777777" w:rsidR="00290E9E" w:rsidRPr="00290E9E" w:rsidRDefault="00290E9E" w:rsidP="00290E9E">
      <w:r w:rsidRPr="00290E9E">
        <w:t>In this model, the subsurface itself becomes a continuously learning digital asset, where geological understanding evolves dynamically through generative AI rather than static interpretation.</w:t>
      </w:r>
    </w:p>
    <w:p w14:paraId="707C8B41" w14:textId="77777777" w:rsidR="00290E9E" w:rsidRPr="00290E9E" w:rsidRDefault="00290E9E" w:rsidP="00290E9E">
      <w:pPr>
        <w:rPr>
          <w:b/>
          <w:bCs/>
        </w:rPr>
      </w:pPr>
      <w:r w:rsidRPr="00290E9E">
        <w:rPr>
          <w:b/>
          <w:bCs/>
        </w:rPr>
        <w:t>6. Challenges, Risks and Mitigation</w:t>
      </w:r>
    </w:p>
    <w:p w14:paraId="74F73685" w14:textId="77777777" w:rsidR="00290E9E" w:rsidRPr="00290E9E" w:rsidRDefault="00290E9E" w:rsidP="00290E9E">
      <w:r w:rsidRPr="00290E9E">
        <w:t>Technical risks include data security, system integration, and AI hallucination. Mitigation requires strict compliance with SACS and NCA controls, encrypted APIs, secure microservice architectures, and retrieval-augmented generation to ground outputs in authoritative sources (National Cybersecurity Authority, n.d.; Lewis et al., 2023).</w:t>
      </w:r>
    </w:p>
    <w:p w14:paraId="4AF37A89" w14:textId="77777777" w:rsidR="00290E9E" w:rsidRPr="00290E9E" w:rsidRDefault="00290E9E" w:rsidP="00290E9E">
      <w:r w:rsidRPr="00290E9E">
        <w:t>Over-reliance on AI is a documented risk that can erode human expertise. This is mitigated through explainability, confidence indicators, and enforced human approval for high-impact decisions (Microsoft, n.d.).</w:t>
      </w:r>
    </w:p>
    <w:p w14:paraId="79B0BB19" w14:textId="77777777" w:rsidR="00290E9E" w:rsidRPr="00290E9E" w:rsidRDefault="00290E9E" w:rsidP="00290E9E">
      <w:r w:rsidRPr="00290E9E">
        <w:lastRenderedPageBreak/>
        <w:t>Ethical risks include bias, lack of transparency, and accountability challenges. Explainable AI techniques such as SHAP and LIME provide interpretable insights into model behavior and help detect unintended biases (</w:t>
      </w:r>
      <w:proofErr w:type="spellStart"/>
      <w:r w:rsidRPr="00290E9E">
        <w:t>Data.world</w:t>
      </w:r>
      <w:proofErr w:type="spellEnd"/>
      <w:r w:rsidRPr="00290E9E">
        <w:t>, n.d.).</w:t>
      </w:r>
    </w:p>
    <w:p w14:paraId="0C06AC6A" w14:textId="77777777" w:rsidR="00290E9E" w:rsidRPr="00290E9E" w:rsidRDefault="00290E9E" w:rsidP="00290E9E">
      <w:r w:rsidRPr="00290E9E">
        <w:t>Business risks include job displacement, particularly for early-career roles. Leaders at the World Economic Forum warned that junior roles may face early disruption as AI automates routine tasks, potentially affecting long-term talent pipelines (Business Insider, 2026). Mitigation requires reskilling programs and AI-augmented career pathways that integrate humans into higher-value roles.</w:t>
      </w:r>
    </w:p>
    <w:p w14:paraId="665BB1AA" w14:textId="77777777" w:rsidR="00290E9E" w:rsidRPr="00290E9E" w:rsidRDefault="00290E9E" w:rsidP="00290E9E">
      <w:pPr>
        <w:rPr>
          <w:b/>
          <w:bCs/>
        </w:rPr>
      </w:pPr>
      <w:r w:rsidRPr="00290E9E">
        <w:rPr>
          <w:b/>
          <w:bCs/>
        </w:rPr>
        <w:t>7. ROI Measurement Plan</w:t>
      </w:r>
    </w:p>
    <w:p w14:paraId="66BBA9E3" w14:textId="77777777" w:rsidR="00290E9E" w:rsidRPr="00290E9E" w:rsidRDefault="00290E9E" w:rsidP="00290E9E">
      <w:r w:rsidRPr="00290E9E">
        <w:t xml:space="preserve">ROI is measured using SMART metrics across four dimensions: operational efficiency, financial impact, technical quality, and adoption. Key indicators include reduction in project turnaround time, cost savings from automation, AI output accuracy compared to baseline, and user adoption rates on Open </w:t>
      </w:r>
      <w:proofErr w:type="spellStart"/>
      <w:r w:rsidRPr="00290E9E">
        <w:t>WebUI</w:t>
      </w:r>
      <w:proofErr w:type="spellEnd"/>
      <w:r w:rsidRPr="00290E9E">
        <w:t>.</w:t>
      </w:r>
    </w:p>
    <w:p w14:paraId="48714F38" w14:textId="77777777" w:rsidR="00290E9E" w:rsidRPr="00290E9E" w:rsidRDefault="00290E9E" w:rsidP="00290E9E">
      <w:r w:rsidRPr="00290E9E">
        <w:t>Data is collected through application logs, workflow systems, and user feedback. Executive dashboards aggregate metrics for leadership, while technical dashboards provide operational visibility.</w:t>
      </w:r>
    </w:p>
    <w:p w14:paraId="6AA84C5C" w14:textId="77777777" w:rsidR="00290E9E" w:rsidRPr="00290E9E" w:rsidRDefault="00290E9E" w:rsidP="00290E9E">
      <w:r w:rsidRPr="00290E9E">
        <w:t>This ensures AI adoption remains outcome-driven and continuously optimized.</w:t>
      </w:r>
    </w:p>
    <w:p w14:paraId="202C1A58" w14:textId="38299515" w:rsidR="00290E9E" w:rsidRPr="00290E9E" w:rsidRDefault="00290E9E" w:rsidP="00290E9E">
      <w:pPr>
        <w:rPr>
          <w:b/>
          <w:bCs/>
        </w:rPr>
      </w:pPr>
      <w:r w:rsidRPr="00290E9E">
        <w:rPr>
          <w:b/>
          <w:bCs/>
        </w:rPr>
        <w:t>8. Ethical Considerations</w:t>
      </w:r>
    </w:p>
    <w:p w14:paraId="56FB536C" w14:textId="77777777" w:rsidR="00290E9E" w:rsidRPr="00290E9E" w:rsidRDefault="00290E9E" w:rsidP="00290E9E">
      <w:r w:rsidRPr="00290E9E">
        <w:t xml:space="preserve">Ethics is embedded across </w:t>
      </w:r>
      <w:proofErr w:type="gramStart"/>
      <w:r w:rsidRPr="00290E9E">
        <w:t>the architecture</w:t>
      </w:r>
      <w:proofErr w:type="gramEnd"/>
      <w:r w:rsidRPr="00290E9E">
        <w:t>. Transparency is achieved through explainability tools, accountability through human-in-the-loop design, fairness through bias audits, and data sovereignty through compliance with national and organizational regulations (</w:t>
      </w:r>
      <w:proofErr w:type="spellStart"/>
      <w:r w:rsidRPr="00290E9E">
        <w:t>Data.world</w:t>
      </w:r>
      <w:proofErr w:type="spellEnd"/>
      <w:r w:rsidRPr="00290E9E">
        <w:t>, n.d.; National Cybersecurity Authority, n.d.).</w:t>
      </w:r>
    </w:p>
    <w:p w14:paraId="07E0A256" w14:textId="77777777" w:rsidR="00290E9E" w:rsidRPr="00290E9E" w:rsidRDefault="00290E9E" w:rsidP="00290E9E">
      <w:pPr>
        <w:rPr>
          <w:b/>
          <w:bCs/>
        </w:rPr>
      </w:pPr>
      <w:r w:rsidRPr="00290E9E">
        <w:rPr>
          <w:b/>
          <w:bCs/>
        </w:rPr>
        <w:t>9. Conclusion</w:t>
      </w:r>
    </w:p>
    <w:p w14:paraId="4FC0815B" w14:textId="77777777" w:rsidR="00290E9E" w:rsidRPr="00290E9E" w:rsidRDefault="00290E9E" w:rsidP="00290E9E">
      <w:r w:rsidRPr="00290E9E">
        <w:t>This strategy presents a realistic and scalable roadmap for transforming Saudi Aramco Upstream into a digital intelligence organization. By combining enterprise RAG, agentic AI, sovereign cloud infrastructure, workforce transformation, and strong governance, Saudi Aramco can achieve sustained competitive advantage through faster decision cycles, preserved institutional knowledge, and AI-enabled subsurface intelligence.</w:t>
      </w:r>
    </w:p>
    <w:p w14:paraId="272F4ECD" w14:textId="77777777" w:rsidR="00290E9E" w:rsidRDefault="00290E9E" w:rsidP="00290E9E">
      <w:proofErr w:type="gramStart"/>
      <w:r w:rsidRPr="00290E9E">
        <w:t>The long</w:t>
      </w:r>
      <w:proofErr w:type="gramEnd"/>
      <w:r w:rsidRPr="00290E9E">
        <w:t>-term vision is not automation for its own sake, but a learning enterprise where humans and intelligent systems co-evolve.</w:t>
      </w:r>
    </w:p>
    <w:p w14:paraId="5D82FCBB" w14:textId="77777777" w:rsidR="00377D0D" w:rsidRDefault="00377D0D" w:rsidP="00290E9E"/>
    <w:p w14:paraId="311D98C8" w14:textId="77777777" w:rsidR="00377D0D" w:rsidRDefault="00377D0D" w:rsidP="00290E9E"/>
    <w:p w14:paraId="0BCCBA37" w14:textId="77777777" w:rsidR="00377D0D" w:rsidRPr="00377D0D" w:rsidRDefault="00377D0D" w:rsidP="00377D0D">
      <w:pPr>
        <w:rPr>
          <w:b/>
          <w:bCs/>
        </w:rPr>
      </w:pPr>
      <w:r w:rsidRPr="00377D0D">
        <w:rPr>
          <w:b/>
          <w:bCs/>
        </w:rPr>
        <w:lastRenderedPageBreak/>
        <w:t>Acknowledgement</w:t>
      </w:r>
    </w:p>
    <w:p w14:paraId="48107897" w14:textId="77777777" w:rsidR="00377D0D" w:rsidRPr="00377D0D" w:rsidRDefault="00377D0D" w:rsidP="00377D0D">
      <w:r w:rsidRPr="00377D0D">
        <w:t>I acknowledge the use of ChatGPT as an assistive tool in the preparation and refinement of this assignment. The tool was used to support structuring, academic phrasing, and integration of references, while the technical content and strategic perspective reflect my own professional experience and understanding.</w:t>
      </w:r>
    </w:p>
    <w:p w14:paraId="1AECDC50" w14:textId="77777777" w:rsidR="00377D0D" w:rsidRDefault="00377D0D" w:rsidP="00377D0D">
      <w:pPr>
        <w:rPr>
          <w:b/>
          <w:bCs/>
        </w:rPr>
      </w:pPr>
    </w:p>
    <w:p w14:paraId="4255F37C" w14:textId="6E645A66" w:rsidR="00377D0D" w:rsidRPr="00377D0D" w:rsidRDefault="00377D0D" w:rsidP="00377D0D">
      <w:pPr>
        <w:rPr>
          <w:b/>
          <w:bCs/>
        </w:rPr>
      </w:pPr>
      <w:r w:rsidRPr="00377D0D">
        <w:rPr>
          <w:b/>
          <w:bCs/>
        </w:rPr>
        <w:t>References (APA)</w:t>
      </w:r>
    </w:p>
    <w:p w14:paraId="766ABDD3" w14:textId="77777777" w:rsidR="00377D0D" w:rsidRPr="00377D0D" w:rsidRDefault="00377D0D" w:rsidP="00321170">
      <w:pPr>
        <w:pStyle w:val="ListParagraph"/>
        <w:numPr>
          <w:ilvl w:val="0"/>
          <w:numId w:val="18"/>
        </w:numPr>
      </w:pPr>
      <w:r w:rsidRPr="00377D0D">
        <w:t xml:space="preserve">Business Insider. (2026). </w:t>
      </w:r>
      <w:r w:rsidRPr="00321170">
        <w:rPr>
          <w:i/>
          <w:iCs/>
        </w:rPr>
        <w:t>DeepMind and Anthropic CEOs: AI is already coming for junior roles at our companies</w:t>
      </w:r>
      <w:r w:rsidRPr="00377D0D">
        <w:t xml:space="preserve">. </w:t>
      </w:r>
      <w:hyperlink r:id="rId5" w:tgtFrame="_new" w:history="1">
        <w:r w:rsidRPr="00377D0D">
          <w:rPr>
            <w:rStyle w:val="Hyperlink"/>
          </w:rPr>
          <w:t>https://www.businessinsider.com/google-deepmind-anthropic-ceos-ai-junior-roles-hiring-davos-2026</w:t>
        </w:r>
      </w:hyperlink>
    </w:p>
    <w:p w14:paraId="7801496D" w14:textId="77777777" w:rsidR="00377D0D" w:rsidRPr="00377D0D" w:rsidRDefault="00377D0D" w:rsidP="00321170">
      <w:pPr>
        <w:pStyle w:val="ListParagraph"/>
        <w:numPr>
          <w:ilvl w:val="0"/>
          <w:numId w:val="18"/>
        </w:numPr>
      </w:pPr>
      <w:proofErr w:type="spellStart"/>
      <w:r w:rsidRPr="00377D0D">
        <w:t>Data.world</w:t>
      </w:r>
      <w:proofErr w:type="spellEnd"/>
      <w:r w:rsidRPr="00377D0D">
        <w:t xml:space="preserve">. (n.d.). </w:t>
      </w:r>
      <w:r w:rsidRPr="00321170">
        <w:rPr>
          <w:i/>
          <w:iCs/>
        </w:rPr>
        <w:t>Compare explainable AI tools: A guide to XAI techniques and libraries</w:t>
      </w:r>
      <w:r w:rsidRPr="00377D0D">
        <w:t xml:space="preserve">. </w:t>
      </w:r>
      <w:hyperlink r:id="rId6" w:tgtFrame="_new" w:history="1">
        <w:r w:rsidRPr="00377D0D">
          <w:rPr>
            <w:rStyle w:val="Hyperlink"/>
          </w:rPr>
          <w:t>https://data.world/resources/compare/explainable-ai-tools/</w:t>
        </w:r>
      </w:hyperlink>
    </w:p>
    <w:p w14:paraId="646ACB83" w14:textId="77777777" w:rsidR="00377D0D" w:rsidRPr="00377D0D" w:rsidRDefault="00377D0D" w:rsidP="00321170">
      <w:pPr>
        <w:pStyle w:val="ListParagraph"/>
        <w:numPr>
          <w:ilvl w:val="0"/>
          <w:numId w:val="18"/>
        </w:numPr>
      </w:pPr>
      <w:r w:rsidRPr="00377D0D">
        <w:t xml:space="preserve">Deloitte. (2025). </w:t>
      </w:r>
      <w:r w:rsidRPr="00321170">
        <w:rPr>
          <w:i/>
          <w:iCs/>
        </w:rPr>
        <w:t>AI readiness in the Middle East</w:t>
      </w:r>
      <w:r w:rsidRPr="00377D0D">
        <w:t xml:space="preserve">. </w:t>
      </w:r>
      <w:hyperlink r:id="rId7" w:tgtFrame="_new" w:history="1">
        <w:r w:rsidRPr="00377D0D">
          <w:rPr>
            <w:rStyle w:val="Hyperlink"/>
          </w:rPr>
          <w:t>https://www.deloitte.com/middle-east/en/services/consulting/services/ai-readiness-middle-east.html</w:t>
        </w:r>
      </w:hyperlink>
    </w:p>
    <w:p w14:paraId="700E5699" w14:textId="77777777" w:rsidR="00377D0D" w:rsidRPr="00377D0D" w:rsidRDefault="00377D0D" w:rsidP="00321170">
      <w:pPr>
        <w:pStyle w:val="ListParagraph"/>
        <w:numPr>
          <w:ilvl w:val="0"/>
          <w:numId w:val="18"/>
        </w:numPr>
      </w:pPr>
      <w:proofErr w:type="spellStart"/>
      <w:r w:rsidRPr="00377D0D">
        <w:t>Docling</w:t>
      </w:r>
      <w:proofErr w:type="spellEnd"/>
      <w:r w:rsidRPr="00377D0D">
        <w:t xml:space="preserve">. (n.d.). </w:t>
      </w:r>
      <w:proofErr w:type="spellStart"/>
      <w:r w:rsidRPr="00321170">
        <w:rPr>
          <w:i/>
          <w:iCs/>
        </w:rPr>
        <w:t>Docling</w:t>
      </w:r>
      <w:proofErr w:type="spellEnd"/>
      <w:r w:rsidRPr="00321170">
        <w:rPr>
          <w:i/>
          <w:iCs/>
        </w:rPr>
        <w:t xml:space="preserve"> documentation</w:t>
      </w:r>
      <w:r w:rsidRPr="00377D0D">
        <w:t xml:space="preserve">. </w:t>
      </w:r>
      <w:hyperlink r:id="rId8" w:tgtFrame="_new" w:history="1">
        <w:r w:rsidRPr="00377D0D">
          <w:rPr>
            <w:rStyle w:val="Hyperlink"/>
          </w:rPr>
          <w:t>https://www.docling.ai/</w:t>
        </w:r>
      </w:hyperlink>
    </w:p>
    <w:p w14:paraId="711D2F01" w14:textId="77777777" w:rsidR="00377D0D" w:rsidRPr="00377D0D" w:rsidRDefault="00377D0D" w:rsidP="00321170">
      <w:pPr>
        <w:pStyle w:val="ListParagraph"/>
        <w:numPr>
          <w:ilvl w:val="0"/>
          <w:numId w:val="18"/>
        </w:numPr>
      </w:pPr>
      <w:proofErr w:type="spellStart"/>
      <w:r w:rsidRPr="00377D0D">
        <w:t>Echenard</w:t>
      </w:r>
      <w:proofErr w:type="spellEnd"/>
      <w:r w:rsidRPr="00377D0D">
        <w:t xml:space="preserve">, E. (2025). </w:t>
      </w:r>
      <w:r w:rsidRPr="00321170">
        <w:rPr>
          <w:i/>
          <w:iCs/>
        </w:rPr>
        <w:t>UPS just revealed the AI playbook every logistics company should study</w:t>
      </w:r>
      <w:r w:rsidRPr="00377D0D">
        <w:t xml:space="preserve">. Medium. </w:t>
      </w:r>
      <w:hyperlink r:id="rId9" w:tgtFrame="_new" w:history="1">
        <w:r w:rsidRPr="00377D0D">
          <w:rPr>
            <w:rStyle w:val="Hyperlink"/>
          </w:rPr>
          <w:t>https://medium.com/@Echenard/ups-just-revealed-the-ai-playbook-every-logistics-company-should-study-9a73d456538c</w:t>
        </w:r>
      </w:hyperlink>
    </w:p>
    <w:p w14:paraId="07A12A49" w14:textId="77777777" w:rsidR="00377D0D" w:rsidRPr="00377D0D" w:rsidRDefault="00377D0D" w:rsidP="00321170">
      <w:pPr>
        <w:pStyle w:val="ListParagraph"/>
        <w:numPr>
          <w:ilvl w:val="0"/>
          <w:numId w:val="18"/>
        </w:numPr>
      </w:pPr>
      <w:r w:rsidRPr="00377D0D">
        <w:t xml:space="preserve">Google Cloud. (n.d.). </w:t>
      </w:r>
      <w:r w:rsidRPr="00321170">
        <w:rPr>
          <w:i/>
          <w:iCs/>
        </w:rPr>
        <w:t>Dammam region access</w:t>
      </w:r>
      <w:r w:rsidRPr="00377D0D">
        <w:t xml:space="preserve">. </w:t>
      </w:r>
      <w:hyperlink r:id="rId10" w:tgtFrame="_new" w:history="1">
        <w:r w:rsidRPr="00377D0D">
          <w:rPr>
            <w:rStyle w:val="Hyperlink"/>
          </w:rPr>
          <w:t>https://docs.cloud.google.com/docs/dammam-region-access</w:t>
        </w:r>
      </w:hyperlink>
    </w:p>
    <w:p w14:paraId="4CDFDBCE" w14:textId="77777777" w:rsidR="00377D0D" w:rsidRPr="00377D0D" w:rsidRDefault="00377D0D" w:rsidP="00321170">
      <w:pPr>
        <w:pStyle w:val="ListParagraph"/>
        <w:numPr>
          <w:ilvl w:val="0"/>
          <w:numId w:val="18"/>
        </w:numPr>
      </w:pPr>
      <w:r w:rsidRPr="00377D0D">
        <w:t xml:space="preserve">Google Cloud. (n.d.). </w:t>
      </w:r>
      <w:r w:rsidRPr="00321170">
        <w:rPr>
          <w:i/>
          <w:iCs/>
        </w:rPr>
        <w:t xml:space="preserve">What is </w:t>
      </w:r>
      <w:proofErr w:type="spellStart"/>
      <w:r w:rsidRPr="00321170">
        <w:rPr>
          <w:i/>
          <w:iCs/>
        </w:rPr>
        <w:t>pgvector</w:t>
      </w:r>
      <w:proofErr w:type="spellEnd"/>
      <w:r w:rsidRPr="00377D0D">
        <w:t xml:space="preserve">. </w:t>
      </w:r>
      <w:hyperlink r:id="rId11" w:tgtFrame="_new" w:history="1">
        <w:r w:rsidRPr="00377D0D">
          <w:rPr>
            <w:rStyle w:val="Hyperlink"/>
          </w:rPr>
          <w:t>https://clo</w:t>
        </w:r>
        <w:r w:rsidRPr="00377D0D">
          <w:rPr>
            <w:rStyle w:val="Hyperlink"/>
          </w:rPr>
          <w:t>u</w:t>
        </w:r>
        <w:r w:rsidRPr="00377D0D">
          <w:rPr>
            <w:rStyle w:val="Hyperlink"/>
          </w:rPr>
          <w:t>d.google.com/discover/what-is-pgvector</w:t>
        </w:r>
      </w:hyperlink>
    </w:p>
    <w:p w14:paraId="43004AE6" w14:textId="77777777" w:rsidR="00377D0D" w:rsidRPr="00377D0D" w:rsidRDefault="00377D0D" w:rsidP="00321170">
      <w:pPr>
        <w:pStyle w:val="ListParagraph"/>
        <w:numPr>
          <w:ilvl w:val="0"/>
          <w:numId w:val="18"/>
        </w:numPr>
      </w:pPr>
      <w:r w:rsidRPr="00377D0D">
        <w:t xml:space="preserve">Hugging Face. (n.d.). </w:t>
      </w:r>
      <w:r w:rsidRPr="00321170">
        <w:rPr>
          <w:i/>
          <w:iCs/>
        </w:rPr>
        <w:t>ALLaM-7B-Instruct-preview</w:t>
      </w:r>
      <w:r w:rsidRPr="00377D0D">
        <w:t xml:space="preserve">. </w:t>
      </w:r>
      <w:hyperlink r:id="rId12" w:tgtFrame="_new" w:history="1">
        <w:r w:rsidRPr="00377D0D">
          <w:rPr>
            <w:rStyle w:val="Hyperlink"/>
          </w:rPr>
          <w:t>https://huggingface.co/humain-ai/ALLaM-7B-Instruct-preview</w:t>
        </w:r>
      </w:hyperlink>
    </w:p>
    <w:p w14:paraId="7D4623F4" w14:textId="77777777" w:rsidR="00377D0D" w:rsidRPr="00377D0D" w:rsidRDefault="00377D0D" w:rsidP="00321170">
      <w:pPr>
        <w:pStyle w:val="ListParagraph"/>
        <w:numPr>
          <w:ilvl w:val="0"/>
          <w:numId w:val="18"/>
        </w:numPr>
      </w:pPr>
      <w:proofErr w:type="spellStart"/>
      <w:r w:rsidRPr="00377D0D">
        <w:t>Humain</w:t>
      </w:r>
      <w:proofErr w:type="spellEnd"/>
      <w:r w:rsidRPr="00377D0D">
        <w:t xml:space="preserve">. (n.d.). </w:t>
      </w:r>
      <w:proofErr w:type="spellStart"/>
      <w:r w:rsidRPr="00321170">
        <w:rPr>
          <w:i/>
          <w:iCs/>
        </w:rPr>
        <w:t>Humain</w:t>
      </w:r>
      <w:proofErr w:type="spellEnd"/>
      <w:r w:rsidRPr="00321170">
        <w:rPr>
          <w:i/>
          <w:iCs/>
        </w:rPr>
        <w:t xml:space="preserve"> AI platform</w:t>
      </w:r>
      <w:r w:rsidRPr="00377D0D">
        <w:t xml:space="preserve">. </w:t>
      </w:r>
      <w:hyperlink r:id="rId13" w:tgtFrame="_new" w:history="1">
        <w:r w:rsidRPr="00377D0D">
          <w:rPr>
            <w:rStyle w:val="Hyperlink"/>
          </w:rPr>
          <w:t>https://www.humain.com/</w:t>
        </w:r>
      </w:hyperlink>
    </w:p>
    <w:p w14:paraId="06DE5602" w14:textId="77777777" w:rsidR="00377D0D" w:rsidRPr="00377D0D" w:rsidRDefault="00377D0D" w:rsidP="00321170">
      <w:pPr>
        <w:pStyle w:val="ListParagraph"/>
        <w:numPr>
          <w:ilvl w:val="0"/>
          <w:numId w:val="18"/>
        </w:numPr>
      </w:pPr>
      <w:r w:rsidRPr="00377D0D">
        <w:t xml:space="preserve">Lewis, P., Perez, E., </w:t>
      </w:r>
      <w:proofErr w:type="spellStart"/>
      <w:r w:rsidRPr="00377D0D">
        <w:t>Piktus</w:t>
      </w:r>
      <w:proofErr w:type="spellEnd"/>
      <w:r w:rsidRPr="00377D0D">
        <w:t xml:space="preserve">, A., Petroni, F., </w:t>
      </w:r>
      <w:proofErr w:type="spellStart"/>
      <w:r w:rsidRPr="00377D0D">
        <w:t>Karpukhin</w:t>
      </w:r>
      <w:proofErr w:type="spellEnd"/>
      <w:r w:rsidRPr="00377D0D">
        <w:t xml:space="preserve">, V., Goyal, N., &amp; Riedel, S. (2023). </w:t>
      </w:r>
      <w:r w:rsidRPr="00321170">
        <w:rPr>
          <w:i/>
          <w:iCs/>
        </w:rPr>
        <w:t>Retrieval-augmented generation for knowledge-intensive NLP tasks</w:t>
      </w:r>
      <w:r w:rsidRPr="00377D0D">
        <w:t xml:space="preserve">. </w:t>
      </w:r>
      <w:hyperlink r:id="rId14" w:tgtFrame="_new" w:history="1">
        <w:r w:rsidRPr="00377D0D">
          <w:rPr>
            <w:rStyle w:val="Hyperlink"/>
          </w:rPr>
          <w:t>https://medium.com/data-science-collective/rag-systems-in-5-levels-of-difficulty-with-full-code-443180a7dc59</w:t>
        </w:r>
      </w:hyperlink>
    </w:p>
    <w:p w14:paraId="1A9642B3" w14:textId="77777777" w:rsidR="00377D0D" w:rsidRPr="00377D0D" w:rsidRDefault="00377D0D" w:rsidP="00321170">
      <w:pPr>
        <w:pStyle w:val="ListParagraph"/>
        <w:numPr>
          <w:ilvl w:val="0"/>
          <w:numId w:val="18"/>
        </w:numPr>
      </w:pPr>
      <w:r w:rsidRPr="00377D0D">
        <w:t xml:space="preserve">Microsoft. (n.d.). </w:t>
      </w:r>
      <w:r w:rsidRPr="00321170">
        <w:rPr>
          <w:i/>
          <w:iCs/>
        </w:rPr>
        <w:t>Over-reliance on AI</w:t>
      </w:r>
      <w:r w:rsidRPr="00377D0D">
        <w:t xml:space="preserve">. </w:t>
      </w:r>
      <w:hyperlink r:id="rId15" w:tgtFrame="_new" w:history="1">
        <w:r w:rsidRPr="00377D0D">
          <w:rPr>
            <w:rStyle w:val="Hyperlink"/>
          </w:rPr>
          <w:t>https://learn.microsoft.com/en-us/ai/playbook/technology-guidance/overreliance-on-ai/overreliance-on-ai</w:t>
        </w:r>
      </w:hyperlink>
    </w:p>
    <w:p w14:paraId="11899ACE" w14:textId="77777777" w:rsidR="00377D0D" w:rsidRPr="00377D0D" w:rsidRDefault="00377D0D" w:rsidP="00321170">
      <w:pPr>
        <w:pStyle w:val="ListParagraph"/>
        <w:numPr>
          <w:ilvl w:val="0"/>
          <w:numId w:val="18"/>
        </w:numPr>
      </w:pPr>
      <w:r w:rsidRPr="00377D0D">
        <w:t xml:space="preserve">National Cybersecurity Authority. (n.d.). </w:t>
      </w:r>
      <w:r w:rsidRPr="00321170">
        <w:rPr>
          <w:i/>
          <w:iCs/>
        </w:rPr>
        <w:t>Regulatory documents</w:t>
      </w:r>
      <w:r w:rsidRPr="00377D0D">
        <w:t xml:space="preserve">. </w:t>
      </w:r>
      <w:hyperlink r:id="rId16" w:tgtFrame="_new" w:history="1">
        <w:r w:rsidRPr="00377D0D">
          <w:rPr>
            <w:rStyle w:val="Hyperlink"/>
          </w:rPr>
          <w:t>https://nca.gov.sa/en/regulatory-documents/</w:t>
        </w:r>
      </w:hyperlink>
    </w:p>
    <w:p w14:paraId="67049924" w14:textId="77777777" w:rsidR="00377D0D" w:rsidRPr="00377D0D" w:rsidRDefault="00377D0D" w:rsidP="00321170">
      <w:pPr>
        <w:pStyle w:val="ListParagraph"/>
        <w:numPr>
          <w:ilvl w:val="0"/>
          <w:numId w:val="18"/>
        </w:numPr>
      </w:pPr>
      <w:r w:rsidRPr="00377D0D">
        <w:t xml:space="preserve">Open </w:t>
      </w:r>
      <w:proofErr w:type="spellStart"/>
      <w:r w:rsidRPr="00377D0D">
        <w:t>WebUI</w:t>
      </w:r>
      <w:proofErr w:type="spellEnd"/>
      <w:r w:rsidRPr="00377D0D">
        <w:t xml:space="preserve">. (n.d.). </w:t>
      </w:r>
      <w:r w:rsidRPr="00321170">
        <w:rPr>
          <w:i/>
          <w:iCs/>
        </w:rPr>
        <w:t xml:space="preserve">Open </w:t>
      </w:r>
      <w:proofErr w:type="spellStart"/>
      <w:r w:rsidRPr="00321170">
        <w:rPr>
          <w:i/>
          <w:iCs/>
        </w:rPr>
        <w:t>WebUI</w:t>
      </w:r>
      <w:proofErr w:type="spellEnd"/>
      <w:r w:rsidRPr="00321170">
        <w:rPr>
          <w:i/>
          <w:iCs/>
        </w:rPr>
        <w:t xml:space="preserve"> enterprise documentation</w:t>
      </w:r>
      <w:r w:rsidRPr="00377D0D">
        <w:t xml:space="preserve">. </w:t>
      </w:r>
      <w:hyperlink r:id="rId17" w:tgtFrame="_new" w:history="1">
        <w:r w:rsidRPr="00377D0D">
          <w:rPr>
            <w:rStyle w:val="Hyperlink"/>
          </w:rPr>
          <w:t>https://docs.openwebui.com/enterprise/</w:t>
        </w:r>
      </w:hyperlink>
    </w:p>
    <w:p w14:paraId="3673DEC8" w14:textId="77777777" w:rsidR="00377D0D" w:rsidRPr="00377D0D" w:rsidRDefault="00377D0D" w:rsidP="00321170">
      <w:pPr>
        <w:pStyle w:val="ListParagraph"/>
        <w:numPr>
          <w:ilvl w:val="0"/>
          <w:numId w:val="18"/>
        </w:numPr>
      </w:pPr>
      <w:proofErr w:type="spellStart"/>
      <w:r w:rsidRPr="00377D0D">
        <w:lastRenderedPageBreak/>
        <w:t>Qdrant</w:t>
      </w:r>
      <w:proofErr w:type="spellEnd"/>
      <w:r w:rsidRPr="00377D0D">
        <w:t xml:space="preserve">. (n.d.). </w:t>
      </w:r>
      <w:proofErr w:type="spellStart"/>
      <w:r w:rsidRPr="00321170">
        <w:rPr>
          <w:i/>
          <w:iCs/>
        </w:rPr>
        <w:t>Qdrant</w:t>
      </w:r>
      <w:proofErr w:type="spellEnd"/>
      <w:r w:rsidRPr="00321170">
        <w:rPr>
          <w:i/>
          <w:iCs/>
        </w:rPr>
        <w:t xml:space="preserve"> vector database</w:t>
      </w:r>
      <w:r w:rsidRPr="00377D0D">
        <w:t xml:space="preserve">. </w:t>
      </w:r>
      <w:hyperlink r:id="rId18" w:tgtFrame="_new" w:history="1">
        <w:r w:rsidRPr="00377D0D">
          <w:rPr>
            <w:rStyle w:val="Hyperlink"/>
          </w:rPr>
          <w:t>https://qdrant.tech/</w:t>
        </w:r>
      </w:hyperlink>
    </w:p>
    <w:p w14:paraId="16367D4B" w14:textId="77777777" w:rsidR="00377D0D" w:rsidRPr="00377D0D" w:rsidRDefault="00377D0D" w:rsidP="00321170">
      <w:pPr>
        <w:pStyle w:val="ListParagraph"/>
        <w:numPr>
          <w:ilvl w:val="0"/>
          <w:numId w:val="18"/>
        </w:numPr>
      </w:pPr>
      <w:r w:rsidRPr="00377D0D">
        <w:t xml:space="preserve">Raghuvanshi, A. (2025). </w:t>
      </w:r>
      <w:r w:rsidRPr="00321170">
        <w:rPr>
          <w:i/>
          <w:iCs/>
        </w:rPr>
        <w:t>Agentic AI: Top AI agent frameworks in 2025</w:t>
      </w:r>
      <w:r w:rsidRPr="00377D0D">
        <w:t xml:space="preserve">. </w:t>
      </w:r>
      <w:hyperlink r:id="rId19" w:tgtFrame="_new" w:history="1">
        <w:r w:rsidRPr="00377D0D">
          <w:rPr>
            <w:rStyle w:val="Hyperlink"/>
          </w:rPr>
          <w:t>https://medium.com/@iamanraghuvanshi/agentic-ai-3-top-ai-agent-frameworks-in-2025-langchain-autogen-crewai-beyond-2fc3388e7dec</w:t>
        </w:r>
      </w:hyperlink>
    </w:p>
    <w:p w14:paraId="43716988" w14:textId="77777777" w:rsidR="00377D0D" w:rsidRPr="00377D0D" w:rsidRDefault="00377D0D" w:rsidP="00321170">
      <w:pPr>
        <w:pStyle w:val="ListParagraph"/>
        <w:numPr>
          <w:ilvl w:val="0"/>
          <w:numId w:val="18"/>
        </w:numPr>
      </w:pPr>
      <w:r w:rsidRPr="00377D0D">
        <w:t xml:space="preserve">Saudi Aramco. (n.d.). </w:t>
      </w:r>
      <w:r w:rsidRPr="00321170">
        <w:rPr>
          <w:i/>
          <w:iCs/>
        </w:rPr>
        <w:t>SACS-002 Third Party Cybersecurity Standard</w:t>
      </w:r>
      <w:r w:rsidRPr="00377D0D">
        <w:t xml:space="preserve">. </w:t>
      </w:r>
      <w:hyperlink r:id="rId20" w:tgtFrame="_new" w:history="1">
        <w:r w:rsidRPr="00377D0D">
          <w:rPr>
            <w:rStyle w:val="Hyperlink"/>
          </w:rPr>
          <w:t>https://www.aramco.com/-/media/downloads/working-with-us/ccc/sacs-002-third-party-cybersecurity-standard.pdf</w:t>
        </w:r>
      </w:hyperlink>
    </w:p>
    <w:p w14:paraId="70EA6497" w14:textId="77777777" w:rsidR="00377D0D" w:rsidRPr="00377D0D" w:rsidRDefault="00377D0D" w:rsidP="00321170">
      <w:pPr>
        <w:pStyle w:val="ListParagraph"/>
        <w:numPr>
          <w:ilvl w:val="0"/>
          <w:numId w:val="18"/>
        </w:numPr>
      </w:pPr>
      <w:r w:rsidRPr="00377D0D">
        <w:t xml:space="preserve">Unstructured. (n.d.). </w:t>
      </w:r>
      <w:r w:rsidRPr="00321170">
        <w:rPr>
          <w:i/>
          <w:iCs/>
        </w:rPr>
        <w:t>Unstructured platform</w:t>
      </w:r>
      <w:r w:rsidRPr="00377D0D">
        <w:t xml:space="preserve">. </w:t>
      </w:r>
      <w:hyperlink r:id="rId21" w:tgtFrame="_new" w:history="1">
        <w:r w:rsidRPr="00377D0D">
          <w:rPr>
            <w:rStyle w:val="Hyperlink"/>
          </w:rPr>
          <w:t>https://unstructured.io/</w:t>
        </w:r>
      </w:hyperlink>
    </w:p>
    <w:p w14:paraId="6B21DB0E" w14:textId="397C3E07" w:rsidR="00377D0D" w:rsidRPr="00377D0D" w:rsidRDefault="00377D0D" w:rsidP="00377D0D"/>
    <w:p w14:paraId="21E4CEA3" w14:textId="77777777" w:rsidR="00377D0D" w:rsidRPr="00290E9E" w:rsidRDefault="00377D0D" w:rsidP="00290E9E"/>
    <w:p w14:paraId="4966A028" w14:textId="77777777" w:rsidR="00167412" w:rsidRPr="00290E9E" w:rsidRDefault="00167412" w:rsidP="00290E9E"/>
    <w:sectPr w:rsidR="00167412" w:rsidRPr="00290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AA4"/>
    <w:multiLevelType w:val="multilevel"/>
    <w:tmpl w:val="260C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7F2C"/>
    <w:multiLevelType w:val="multilevel"/>
    <w:tmpl w:val="3DCA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B51DD"/>
    <w:multiLevelType w:val="multilevel"/>
    <w:tmpl w:val="8FB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E0999"/>
    <w:multiLevelType w:val="multilevel"/>
    <w:tmpl w:val="A32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625E9"/>
    <w:multiLevelType w:val="multilevel"/>
    <w:tmpl w:val="15B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837A3"/>
    <w:multiLevelType w:val="multilevel"/>
    <w:tmpl w:val="50F6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63281"/>
    <w:multiLevelType w:val="multilevel"/>
    <w:tmpl w:val="99BA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423F4"/>
    <w:multiLevelType w:val="hybridMultilevel"/>
    <w:tmpl w:val="0DFC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372AC"/>
    <w:multiLevelType w:val="multilevel"/>
    <w:tmpl w:val="0FB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5730C"/>
    <w:multiLevelType w:val="multilevel"/>
    <w:tmpl w:val="DB8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E02BB"/>
    <w:multiLevelType w:val="multilevel"/>
    <w:tmpl w:val="0274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14CD6"/>
    <w:multiLevelType w:val="multilevel"/>
    <w:tmpl w:val="FC5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64F42"/>
    <w:multiLevelType w:val="multilevel"/>
    <w:tmpl w:val="990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C64AA"/>
    <w:multiLevelType w:val="multilevel"/>
    <w:tmpl w:val="3F4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D588A"/>
    <w:multiLevelType w:val="multilevel"/>
    <w:tmpl w:val="F83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C183C"/>
    <w:multiLevelType w:val="multilevel"/>
    <w:tmpl w:val="D61C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4581E"/>
    <w:multiLevelType w:val="multilevel"/>
    <w:tmpl w:val="8B2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E64AD"/>
    <w:multiLevelType w:val="multilevel"/>
    <w:tmpl w:val="04B4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177124">
    <w:abstractNumId w:val="11"/>
  </w:num>
  <w:num w:numId="2" w16cid:durableId="976569791">
    <w:abstractNumId w:val="0"/>
  </w:num>
  <w:num w:numId="3" w16cid:durableId="1882282264">
    <w:abstractNumId w:val="13"/>
  </w:num>
  <w:num w:numId="4" w16cid:durableId="2116049349">
    <w:abstractNumId w:val="8"/>
  </w:num>
  <w:num w:numId="5" w16cid:durableId="1556509233">
    <w:abstractNumId w:val="6"/>
  </w:num>
  <w:num w:numId="6" w16cid:durableId="594244027">
    <w:abstractNumId w:val="3"/>
  </w:num>
  <w:num w:numId="7" w16cid:durableId="1113020608">
    <w:abstractNumId w:val="17"/>
  </w:num>
  <w:num w:numId="8" w16cid:durableId="657543150">
    <w:abstractNumId w:val="1"/>
  </w:num>
  <w:num w:numId="9" w16cid:durableId="7761489">
    <w:abstractNumId w:val="4"/>
  </w:num>
  <w:num w:numId="10" w16cid:durableId="1244799589">
    <w:abstractNumId w:val="16"/>
  </w:num>
  <w:num w:numId="11" w16cid:durableId="1328249709">
    <w:abstractNumId w:val="9"/>
  </w:num>
  <w:num w:numId="12" w16cid:durableId="2061787287">
    <w:abstractNumId w:val="10"/>
  </w:num>
  <w:num w:numId="13" w16cid:durableId="790243650">
    <w:abstractNumId w:val="5"/>
  </w:num>
  <w:num w:numId="14" w16cid:durableId="474496175">
    <w:abstractNumId w:val="2"/>
  </w:num>
  <w:num w:numId="15" w16cid:durableId="1825731003">
    <w:abstractNumId w:val="12"/>
  </w:num>
  <w:num w:numId="16" w16cid:durableId="1505127707">
    <w:abstractNumId w:val="14"/>
  </w:num>
  <w:num w:numId="17" w16cid:durableId="1143082008">
    <w:abstractNumId w:val="15"/>
  </w:num>
  <w:num w:numId="18" w16cid:durableId="898058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12"/>
    <w:rsid w:val="00167412"/>
    <w:rsid w:val="00290E9E"/>
    <w:rsid w:val="00321170"/>
    <w:rsid w:val="00377D0D"/>
    <w:rsid w:val="0048286A"/>
    <w:rsid w:val="00792678"/>
    <w:rsid w:val="00887CA9"/>
    <w:rsid w:val="00B05A18"/>
    <w:rsid w:val="00E72000"/>
    <w:rsid w:val="00FA5C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BB09"/>
  <w15:chartTrackingRefBased/>
  <w15:docId w15:val="{DDC655E1-D3B4-409E-B585-8EBD8B6D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412"/>
    <w:rPr>
      <w:rFonts w:eastAsiaTheme="majorEastAsia" w:cstheme="majorBidi"/>
      <w:color w:val="272727" w:themeColor="text1" w:themeTint="D8"/>
    </w:rPr>
  </w:style>
  <w:style w:type="paragraph" w:styleId="Title">
    <w:name w:val="Title"/>
    <w:basedOn w:val="Normal"/>
    <w:next w:val="Normal"/>
    <w:link w:val="TitleChar"/>
    <w:uiPriority w:val="10"/>
    <w:qFormat/>
    <w:rsid w:val="00167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412"/>
    <w:pPr>
      <w:spacing w:before="160"/>
      <w:jc w:val="center"/>
    </w:pPr>
    <w:rPr>
      <w:i/>
      <w:iCs/>
      <w:color w:val="404040" w:themeColor="text1" w:themeTint="BF"/>
    </w:rPr>
  </w:style>
  <w:style w:type="character" w:customStyle="1" w:styleId="QuoteChar">
    <w:name w:val="Quote Char"/>
    <w:basedOn w:val="DefaultParagraphFont"/>
    <w:link w:val="Quote"/>
    <w:uiPriority w:val="29"/>
    <w:rsid w:val="00167412"/>
    <w:rPr>
      <w:i/>
      <w:iCs/>
      <w:color w:val="404040" w:themeColor="text1" w:themeTint="BF"/>
    </w:rPr>
  </w:style>
  <w:style w:type="paragraph" w:styleId="ListParagraph">
    <w:name w:val="List Paragraph"/>
    <w:basedOn w:val="Normal"/>
    <w:uiPriority w:val="34"/>
    <w:qFormat/>
    <w:rsid w:val="00167412"/>
    <w:pPr>
      <w:ind w:left="720"/>
      <w:contextualSpacing/>
    </w:pPr>
  </w:style>
  <w:style w:type="character" w:styleId="IntenseEmphasis">
    <w:name w:val="Intense Emphasis"/>
    <w:basedOn w:val="DefaultParagraphFont"/>
    <w:uiPriority w:val="21"/>
    <w:qFormat/>
    <w:rsid w:val="00167412"/>
    <w:rPr>
      <w:i/>
      <w:iCs/>
      <w:color w:val="0F4761" w:themeColor="accent1" w:themeShade="BF"/>
    </w:rPr>
  </w:style>
  <w:style w:type="paragraph" w:styleId="IntenseQuote">
    <w:name w:val="Intense Quote"/>
    <w:basedOn w:val="Normal"/>
    <w:next w:val="Normal"/>
    <w:link w:val="IntenseQuoteChar"/>
    <w:uiPriority w:val="30"/>
    <w:qFormat/>
    <w:rsid w:val="00167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412"/>
    <w:rPr>
      <w:i/>
      <w:iCs/>
      <w:color w:val="0F4761" w:themeColor="accent1" w:themeShade="BF"/>
    </w:rPr>
  </w:style>
  <w:style w:type="character" w:styleId="IntenseReference">
    <w:name w:val="Intense Reference"/>
    <w:basedOn w:val="DefaultParagraphFont"/>
    <w:uiPriority w:val="32"/>
    <w:qFormat/>
    <w:rsid w:val="00167412"/>
    <w:rPr>
      <w:b/>
      <w:bCs/>
      <w:smallCaps/>
      <w:color w:val="0F4761" w:themeColor="accent1" w:themeShade="BF"/>
      <w:spacing w:val="5"/>
    </w:rPr>
  </w:style>
  <w:style w:type="character" w:styleId="Hyperlink">
    <w:name w:val="Hyperlink"/>
    <w:basedOn w:val="DefaultParagraphFont"/>
    <w:uiPriority w:val="99"/>
    <w:unhideWhenUsed/>
    <w:rsid w:val="00FA5C2A"/>
    <w:rPr>
      <w:color w:val="467886" w:themeColor="hyperlink"/>
      <w:u w:val="single"/>
    </w:rPr>
  </w:style>
  <w:style w:type="character" w:styleId="UnresolvedMention">
    <w:name w:val="Unresolved Mention"/>
    <w:basedOn w:val="DefaultParagraphFont"/>
    <w:uiPriority w:val="99"/>
    <w:semiHidden/>
    <w:unhideWhenUsed/>
    <w:rsid w:val="00FA5C2A"/>
    <w:rPr>
      <w:color w:val="605E5C"/>
      <w:shd w:val="clear" w:color="auto" w:fill="E1DFDD"/>
    </w:rPr>
  </w:style>
  <w:style w:type="character" w:styleId="FollowedHyperlink">
    <w:name w:val="FollowedHyperlink"/>
    <w:basedOn w:val="DefaultParagraphFont"/>
    <w:uiPriority w:val="99"/>
    <w:semiHidden/>
    <w:unhideWhenUsed/>
    <w:rsid w:val="00377D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cling.ai/" TargetMode="External"/><Relationship Id="rId13" Type="http://schemas.openxmlformats.org/officeDocument/2006/relationships/hyperlink" Target="https://www.humain.com/" TargetMode="External"/><Relationship Id="rId18" Type="http://schemas.openxmlformats.org/officeDocument/2006/relationships/hyperlink" Target="https://qdrant.tech/" TargetMode="External"/><Relationship Id="rId3" Type="http://schemas.openxmlformats.org/officeDocument/2006/relationships/settings" Target="settings.xml"/><Relationship Id="rId21" Type="http://schemas.openxmlformats.org/officeDocument/2006/relationships/hyperlink" Target="https://unstructured.io/" TargetMode="External"/><Relationship Id="rId7" Type="http://schemas.openxmlformats.org/officeDocument/2006/relationships/hyperlink" Target="https://www.deloitte.com/middle-east/en/services/consulting/services/ai-readiness-middle-east.html?utm_source=chatgpt.com" TargetMode="External"/><Relationship Id="rId12" Type="http://schemas.openxmlformats.org/officeDocument/2006/relationships/hyperlink" Target="https://huggingface.co/humain-ai/ALLaM-7B-Instruct-preview" TargetMode="External"/><Relationship Id="rId17" Type="http://schemas.openxmlformats.org/officeDocument/2006/relationships/hyperlink" Target="https://docs.openwebui.com/enterprise/" TargetMode="External"/><Relationship Id="rId2" Type="http://schemas.openxmlformats.org/officeDocument/2006/relationships/styles" Target="styles.xml"/><Relationship Id="rId16" Type="http://schemas.openxmlformats.org/officeDocument/2006/relationships/hyperlink" Target="https://nca.gov.sa/en/regulatory-documents/" TargetMode="External"/><Relationship Id="rId20" Type="http://schemas.openxmlformats.org/officeDocument/2006/relationships/hyperlink" Target="https://www.aramco.com/-/media/downloads/working-with-us/ccc/sacs-002-third-party-cybersecurity-standard.pdf" TargetMode="External"/><Relationship Id="rId1" Type="http://schemas.openxmlformats.org/officeDocument/2006/relationships/numbering" Target="numbering.xml"/><Relationship Id="rId6" Type="http://schemas.openxmlformats.org/officeDocument/2006/relationships/hyperlink" Target="https://data.world/resources/compare/explainable-ai-tools/" TargetMode="External"/><Relationship Id="rId11" Type="http://schemas.openxmlformats.org/officeDocument/2006/relationships/hyperlink" Target="https://cloud.google.com/discover/what-is-pgvector" TargetMode="External"/><Relationship Id="rId5" Type="http://schemas.openxmlformats.org/officeDocument/2006/relationships/hyperlink" Target="https://www.businessinsider.com/google-deepmind-anthropic-ceos-ai-junior-roles-hiring-davos-2026" TargetMode="External"/><Relationship Id="rId15" Type="http://schemas.openxmlformats.org/officeDocument/2006/relationships/hyperlink" Target="https://learn.microsoft.com/en-us/ai/playbook/technology-guidance/overreliance-on-ai/overreliance-on-ai" TargetMode="External"/><Relationship Id="rId23" Type="http://schemas.openxmlformats.org/officeDocument/2006/relationships/theme" Target="theme/theme1.xml"/><Relationship Id="rId10" Type="http://schemas.openxmlformats.org/officeDocument/2006/relationships/hyperlink" Target="https://docs.cloud.google.com/docs/dammam-region-access" TargetMode="External"/><Relationship Id="rId19" Type="http://schemas.openxmlformats.org/officeDocument/2006/relationships/hyperlink" Target="https://medium.com/@iamanraghuvanshi/agentic-ai-3-top-ai-agent-frameworks-in-2025-langchain-autogen-crewai-beyond-2fc3388e7dec" TargetMode="External"/><Relationship Id="rId4" Type="http://schemas.openxmlformats.org/officeDocument/2006/relationships/webSettings" Target="webSettings.xml"/><Relationship Id="rId9" Type="http://schemas.openxmlformats.org/officeDocument/2006/relationships/hyperlink" Target="https://medium.com/@Echenard/ups-just-revealed-the-ai-playbook-every-logistics-company-should-study-9a73d456538c" TargetMode="External"/><Relationship Id="rId14" Type="http://schemas.openxmlformats.org/officeDocument/2006/relationships/hyperlink" Target="https://medium.com/data-science-collective/rag-systems-in-5-levels-of-difficulty-with-full-code-443180a7dc5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2270</Words>
  <Characters>12942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Essam Rafie</dc:creator>
  <cp:keywords/>
  <dc:description/>
  <cp:lastModifiedBy>Essam Rafie</cp:lastModifiedBy>
  <cp:revision>9</cp:revision>
  <dcterms:created xsi:type="dcterms:W3CDTF">2026-01-23T16:48:00Z</dcterms:created>
  <dcterms:modified xsi:type="dcterms:W3CDTF">2026-01-23T17:10:00Z</dcterms:modified>
</cp:coreProperties>
</file>