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937B9" w:rsidRDefault="007937B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w:t>
                  </w:r>
                  <w:proofErr w:type="spellStart"/>
                  <w:r w:rsidR="00C70EDA">
                    <w:rPr>
                      <w:b/>
                      <w:bCs/>
                      <w:color w:val="auto"/>
                      <w:sz w:val="22"/>
                    </w:rPr>
                    <w:t>EGPm</w:t>
                  </w:r>
                  <w:proofErr w:type="spellEnd"/>
                  <w:r w:rsidR="00C70EDA">
                    <w:rPr>
                      <w:b/>
                      <w:bCs/>
                      <w:color w:val="auto"/>
                      <w:sz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C514A8"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proofErr w:type="spellStart"/>
                  <w:r w:rsidRPr="00B66D64">
                    <w:rPr>
                      <w:sz w:val="21"/>
                      <w:szCs w:val="21"/>
                    </w:rPr>
                    <w:t>MCap</w:t>
                  </w:r>
                  <w:proofErr w:type="spellEnd"/>
                  <w:r w:rsidRPr="00B66D64">
                    <w:rPr>
                      <w:sz w:val="21"/>
                      <w:szCs w:val="21"/>
                    </w:rPr>
                    <w:t xml:space="preserve"> (</w:t>
                  </w:r>
                  <w:proofErr w:type="spellStart"/>
                  <w:r w:rsidRPr="00B66D64">
                    <w:rPr>
                      <w:sz w:val="21"/>
                      <w:szCs w:val="21"/>
                    </w:rPr>
                    <w:t>EGPm</w:t>
                  </w:r>
                  <w:proofErr w:type="spellEnd"/>
                  <w:r w:rsidRPr="00B66D64">
                    <w:rPr>
                      <w:sz w:val="21"/>
                      <w:szCs w:val="21"/>
                    </w:rPr>
                    <w:t>)</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proofErr w:type="spellStart"/>
                  <w:r w:rsidRPr="00B66D64">
                    <w:rPr>
                      <w:sz w:val="21"/>
                      <w:szCs w:val="21"/>
                    </w:rPr>
                    <w:t>MCap</w:t>
                  </w:r>
                  <w:proofErr w:type="spellEnd"/>
                  <w:r w:rsidRPr="00B66D64">
                    <w:rPr>
                      <w:sz w:val="21"/>
                      <w:szCs w:val="21"/>
                    </w:rPr>
                    <w:t xml:space="preserve"> (</w:t>
                  </w:r>
                  <w:proofErr w:type="spellStart"/>
                  <w:r w:rsidRPr="00B66D64">
                    <w:rPr>
                      <w:sz w:val="21"/>
                      <w:szCs w:val="21"/>
                    </w:rPr>
                    <w:t>USDm</w:t>
                  </w:r>
                  <w:proofErr w:type="spellEnd"/>
                  <w:r w:rsidRPr="00B66D64">
                    <w:rPr>
                      <w:sz w:val="21"/>
                      <w:szCs w:val="21"/>
                    </w:rPr>
                    <w:t>)</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w:t>
                  </w:r>
                  <w:proofErr w:type="spellStart"/>
                  <w:r w:rsidR="00542D19" w:rsidRPr="00B66D64">
                    <w:rPr>
                      <w:sz w:val="21"/>
                      <w:szCs w:val="21"/>
                    </w:rPr>
                    <w:t>USD</w:t>
                  </w:r>
                  <w:r w:rsidRPr="00B66D64">
                    <w:rPr>
                      <w:sz w:val="21"/>
                      <w:szCs w:val="21"/>
                    </w:rPr>
                    <w:t>m</w:t>
                  </w:r>
                  <w:proofErr w:type="spellEnd"/>
                  <w:r w:rsidRPr="00B66D64">
                    <w:rPr>
                      <w:sz w:val="21"/>
                      <w:szCs w:val="21"/>
                    </w:rPr>
                    <w:t>)</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C514A8"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D231A1" w:rsidRDefault="00DA39A9" w:rsidP="00A21CC2">
            <w:pPr>
              <w:ind w:right="63"/>
              <w:jc w:val="right"/>
              <w:rPr>
                <w:b/>
                <w:bCs/>
                <w:sz w:val="24"/>
                <w:szCs w:val="24"/>
              </w:rPr>
            </w:pPr>
            <w:fldSimple w:instr=" DOCPROPERTY  iR_Report_Date  \* MERGEFORMAT ">
              <w:r w:rsidR="00D231A1" w:rsidRPr="00D231A1">
                <w:rPr>
                  <w:b/>
                  <w:bCs/>
                  <w:sz w:val="24"/>
                </w:rPr>
                <w:t xml:space="preserve"> </w:t>
              </w:r>
              <w:r w:rsidR="00D231A1" w:rsidRPr="00D231A1">
                <w:rPr>
                  <w:b/>
                  <w:bCs/>
                  <w:sz w:val="24"/>
                  <w:szCs w:val="24"/>
                </w:rPr>
                <w:t>#Report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C16E6D" w:rsidRDefault="00A96396"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CA6C2C" w:rsidRPr="00C16E6D" w:rsidRDefault="00CA6C2C" w:rsidP="00A21CC2">
            <w:pPr>
              <w:ind w:right="63"/>
              <w:jc w:val="right"/>
              <w:rPr>
                <w:szCs w:val="18"/>
              </w:rPr>
            </w:pPr>
          </w:p>
          <w:p w:rsidR="00347C64" w:rsidRPr="00E21EF3" w:rsidRDefault="00A75CE0" w:rsidP="00E21EF3">
            <w:pPr>
              <w:pStyle w:val="iRDisclaimer"/>
            </w:pPr>
            <w:r w:rsidRPr="00E21EF3">
              <w:t>Disclaimer: See page X</w:t>
            </w:r>
          </w:p>
        </w:tc>
      </w:tr>
    </w:tbl>
    <w:p w:rsidR="00C10AC2" w:rsidRDefault="00C10AC2" w:rsidP="00595268">
      <w:pPr>
        <w:rPr>
          <w:rFonts w:ascii="Verdana" w:hAnsi="Verdana"/>
        </w:rPr>
      </w:pPr>
    </w:p>
    <w:sectPr w:rsidR="00C10AC2"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092" w:rsidRDefault="00C07092">
      <w:r>
        <w:separator/>
      </w:r>
    </w:p>
  </w:endnote>
  <w:endnote w:type="continuationSeparator" w:id="0">
    <w:p w:rsidR="00C07092" w:rsidRDefault="00C07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092" w:rsidRDefault="00C07092">
      <w:r>
        <w:separator/>
      </w:r>
    </w:p>
  </w:footnote>
  <w:footnote w:type="continuationSeparator" w:id="0">
    <w:p w:rsidR="00C07092" w:rsidRDefault="00C07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847EA"/>
    <w:rsid w:val="00092824"/>
    <w:rsid w:val="00095F12"/>
    <w:rsid w:val="00096A45"/>
    <w:rsid w:val="000A0FC3"/>
    <w:rsid w:val="000A50BD"/>
    <w:rsid w:val="000B4A22"/>
    <w:rsid w:val="000B67FB"/>
    <w:rsid w:val="000B6A69"/>
    <w:rsid w:val="000C4847"/>
    <w:rsid w:val="000D14E3"/>
    <w:rsid w:val="000D1A73"/>
    <w:rsid w:val="000D620E"/>
    <w:rsid w:val="000F2D4F"/>
    <w:rsid w:val="001036DC"/>
    <w:rsid w:val="00103DEE"/>
    <w:rsid w:val="001120F5"/>
    <w:rsid w:val="001155D7"/>
    <w:rsid w:val="0012236E"/>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C4BCB"/>
    <w:rsid w:val="001D2B2A"/>
    <w:rsid w:val="001D5BBB"/>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0554E"/>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D65"/>
    <w:rsid w:val="00582FA4"/>
    <w:rsid w:val="00585711"/>
    <w:rsid w:val="00595268"/>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7B0"/>
    <w:rsid w:val="00717F6E"/>
    <w:rsid w:val="00725671"/>
    <w:rsid w:val="0073524B"/>
    <w:rsid w:val="00740261"/>
    <w:rsid w:val="00744484"/>
    <w:rsid w:val="00753667"/>
    <w:rsid w:val="0075463E"/>
    <w:rsid w:val="007710A9"/>
    <w:rsid w:val="007742D2"/>
    <w:rsid w:val="00781D43"/>
    <w:rsid w:val="00785ADF"/>
    <w:rsid w:val="00786D37"/>
    <w:rsid w:val="00790CBD"/>
    <w:rsid w:val="007937B9"/>
    <w:rsid w:val="007957DA"/>
    <w:rsid w:val="007A18E3"/>
    <w:rsid w:val="007A3F9C"/>
    <w:rsid w:val="007B7EB9"/>
    <w:rsid w:val="007C09DF"/>
    <w:rsid w:val="007D006F"/>
    <w:rsid w:val="007D4DCA"/>
    <w:rsid w:val="007E1CF6"/>
    <w:rsid w:val="007E3E4A"/>
    <w:rsid w:val="007E48F6"/>
    <w:rsid w:val="007F1403"/>
    <w:rsid w:val="007F2067"/>
    <w:rsid w:val="007F24F0"/>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3B0D"/>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07092"/>
    <w:rsid w:val="00C10AC2"/>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CF78BF"/>
    <w:rsid w:val="00D06AAC"/>
    <w:rsid w:val="00D11806"/>
    <w:rsid w:val="00D229CF"/>
    <w:rsid w:val="00D231A1"/>
    <w:rsid w:val="00D256C0"/>
    <w:rsid w:val="00D317DC"/>
    <w:rsid w:val="00D343E7"/>
    <w:rsid w:val="00D37CD1"/>
    <w:rsid w:val="00D54CF8"/>
    <w:rsid w:val="00D551D5"/>
    <w:rsid w:val="00D6204E"/>
    <w:rsid w:val="00D62D4C"/>
    <w:rsid w:val="00D73ABA"/>
    <w:rsid w:val="00D74B61"/>
    <w:rsid w:val="00D8537B"/>
    <w:rsid w:val="00D87C8F"/>
    <w:rsid w:val="00DA2600"/>
    <w:rsid w:val="00DA39A9"/>
    <w:rsid w:val="00DA77E5"/>
    <w:rsid w:val="00DB03D7"/>
    <w:rsid w:val="00DB24AF"/>
    <w:rsid w:val="00DC43D4"/>
    <w:rsid w:val="00DC7E60"/>
    <w:rsid w:val="00DE6195"/>
    <w:rsid w:val="00DF10B1"/>
    <w:rsid w:val="00DF76CB"/>
    <w:rsid w:val="00E039EF"/>
    <w:rsid w:val="00E04AA5"/>
    <w:rsid w:val="00E21EF3"/>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D43"/>
    <w:rPr>
      <w:rFonts w:ascii="Calibri" w:eastAsia="Calibri" w:hAnsi="Calibri" w:cs="Calibri"/>
      <w:sz w:val="22"/>
      <w:szCs w:val="22"/>
    </w:rPr>
  </w:style>
  <w:style w:type="paragraph" w:styleId="Heading1">
    <w:name w:val="heading 1"/>
    <w:basedOn w:val="Normal"/>
    <w:next w:val="Normal"/>
    <w:qFormat/>
    <w:rsid w:val="00781D43"/>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781D43"/>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781D43"/>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781D43"/>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781D43"/>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781D43"/>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781D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81D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81D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D43"/>
    <w:pPr>
      <w:tabs>
        <w:tab w:val="center" w:pos="4320"/>
        <w:tab w:val="right" w:pos="8640"/>
      </w:tabs>
    </w:pPr>
  </w:style>
  <w:style w:type="paragraph" w:styleId="Footer">
    <w:name w:val="footer"/>
    <w:basedOn w:val="Normal"/>
    <w:link w:val="FooterChar"/>
    <w:uiPriority w:val="99"/>
    <w:rsid w:val="00781D43"/>
    <w:pPr>
      <w:tabs>
        <w:tab w:val="center" w:pos="4320"/>
        <w:tab w:val="right" w:pos="8640"/>
      </w:tabs>
    </w:pPr>
  </w:style>
  <w:style w:type="table" w:styleId="TableGrid">
    <w:name w:val="Table Grid"/>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781D43"/>
    <w:pPr>
      <w:jc w:val="right"/>
    </w:pPr>
    <w:rPr>
      <w:color w:val="FFFFFF"/>
      <w:szCs w:val="18"/>
    </w:rPr>
  </w:style>
  <w:style w:type="paragraph" w:customStyle="1" w:styleId="CountrySectorNameHeader">
    <w:name w:val="Country/Sector Name (Header)"/>
    <w:basedOn w:val="Normal"/>
    <w:rsid w:val="00781D43"/>
    <w:pPr>
      <w:jc w:val="right"/>
    </w:pPr>
    <w:rPr>
      <w:color w:val="B3BDD0"/>
      <w:sz w:val="16"/>
    </w:rPr>
  </w:style>
  <w:style w:type="paragraph" w:customStyle="1" w:styleId="iRReportTypeHeader">
    <w:name w:val="iR Report Type (Header)"/>
    <w:basedOn w:val="Normal"/>
    <w:rsid w:val="00781D43"/>
    <w:rPr>
      <w:color w:val="FFFFFF"/>
      <w:szCs w:val="18"/>
    </w:rPr>
  </w:style>
  <w:style w:type="paragraph" w:customStyle="1" w:styleId="iRCompanySectorNameHeader">
    <w:name w:val="iR Company/Sector Name (Header)"/>
    <w:basedOn w:val="Normal"/>
    <w:rsid w:val="00781D43"/>
    <w:rPr>
      <w:color w:val="FFFFFF"/>
      <w:sz w:val="72"/>
      <w:szCs w:val="72"/>
    </w:rPr>
  </w:style>
  <w:style w:type="paragraph" w:customStyle="1" w:styleId="iRDepartmentHeader">
    <w:name w:val="iR Department (Header)"/>
    <w:basedOn w:val="Normal"/>
    <w:rsid w:val="00781D43"/>
    <w:rPr>
      <w:color w:val="B3BDD0"/>
      <w:sz w:val="16"/>
      <w:szCs w:val="16"/>
    </w:rPr>
  </w:style>
  <w:style w:type="paragraph" w:customStyle="1" w:styleId="iRCountrySectorPageHeader">
    <w:name w:val="iR Country/Sector Page Header"/>
    <w:basedOn w:val="Header"/>
    <w:rsid w:val="00781D43"/>
    <w:rPr>
      <w:color w:val="012464"/>
      <w:sz w:val="20"/>
      <w:szCs w:val="20"/>
    </w:rPr>
  </w:style>
  <w:style w:type="paragraph" w:customStyle="1" w:styleId="iRCompanySectorNameFooter">
    <w:name w:val="iR Company/Sector Name Footer"/>
    <w:basedOn w:val="Footer"/>
    <w:rsid w:val="00781D43"/>
    <w:pPr>
      <w:jc w:val="right"/>
    </w:pPr>
    <w:rPr>
      <w:color w:val="FFFFFF"/>
      <w:sz w:val="16"/>
      <w:szCs w:val="16"/>
    </w:rPr>
  </w:style>
  <w:style w:type="character" w:styleId="PageNumber">
    <w:name w:val="page number"/>
    <w:basedOn w:val="DefaultParagraphFont"/>
    <w:rsid w:val="00781D43"/>
  </w:style>
  <w:style w:type="numbering" w:customStyle="1" w:styleId="StyleBulletedSymbolsymbolBefore025Hanging025">
    <w:name w:val="Style Bulleted Symbol (symbol) Before:  0.25&quot; Hanging:  0.25&quot;"/>
    <w:basedOn w:val="NoList"/>
    <w:rsid w:val="00781D43"/>
    <w:pPr>
      <w:numPr>
        <w:numId w:val="6"/>
      </w:numPr>
    </w:pPr>
  </w:style>
  <w:style w:type="paragraph" w:customStyle="1" w:styleId="iRBullet">
    <w:name w:val="iR Bullet"/>
    <w:basedOn w:val="Normal"/>
    <w:rsid w:val="00781D43"/>
    <w:pPr>
      <w:numPr>
        <w:numId w:val="45"/>
      </w:numPr>
    </w:pPr>
    <w:rPr>
      <w:b/>
      <w:bCs/>
      <w:color w:val="4D6692"/>
      <w:sz w:val="20"/>
      <w:szCs w:val="20"/>
    </w:rPr>
  </w:style>
  <w:style w:type="paragraph" w:customStyle="1" w:styleId="iRTableHead">
    <w:name w:val="iR Table Head"/>
    <w:basedOn w:val="Normal"/>
    <w:rsid w:val="00781D43"/>
    <w:rPr>
      <w:color w:val="FFFFFF"/>
      <w:sz w:val="16"/>
    </w:rPr>
  </w:style>
  <w:style w:type="paragraph" w:customStyle="1" w:styleId="iRTableRow">
    <w:name w:val="iR Table Row"/>
    <w:basedOn w:val="Normal"/>
    <w:rsid w:val="00781D43"/>
    <w:rPr>
      <w:color w:val="000000"/>
      <w:sz w:val="16"/>
      <w:szCs w:val="16"/>
    </w:rPr>
  </w:style>
  <w:style w:type="paragraph" w:customStyle="1" w:styleId="iRContactCard-ContactName">
    <w:name w:val="iR Contact Card - Contact Name"/>
    <w:basedOn w:val="Normal"/>
    <w:rsid w:val="00781D43"/>
    <w:pPr>
      <w:ind w:right="63"/>
      <w:jc w:val="right"/>
    </w:pPr>
    <w:rPr>
      <w:b/>
      <w:bCs/>
    </w:rPr>
  </w:style>
  <w:style w:type="paragraph" w:customStyle="1" w:styleId="iRContactCard-ContactInfo">
    <w:name w:val="iR Contact Card - Contact Info"/>
    <w:basedOn w:val="iRContactCard-ContactName"/>
    <w:rsid w:val="00781D43"/>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781D43"/>
    <w:pPr>
      <w:spacing w:line="440" w:lineRule="exact"/>
    </w:pPr>
    <w:rPr>
      <w:sz w:val="40"/>
      <w:szCs w:val="40"/>
    </w:rPr>
  </w:style>
  <w:style w:type="paragraph" w:customStyle="1" w:styleId="iRSubSectionTitle">
    <w:name w:val="iR SubSection Title"/>
    <w:basedOn w:val="Normal"/>
    <w:next w:val="Normal"/>
    <w:rsid w:val="00781D43"/>
    <w:pPr>
      <w:spacing w:line="240" w:lineRule="exact"/>
    </w:pPr>
    <w:rPr>
      <w:b/>
      <w:bCs/>
      <w:sz w:val="28"/>
      <w:szCs w:val="28"/>
    </w:rPr>
  </w:style>
  <w:style w:type="paragraph" w:customStyle="1" w:styleId="iRChartTitle">
    <w:name w:val="iR Chart Title"/>
    <w:basedOn w:val="Normal"/>
    <w:link w:val="iRChartTitleChar"/>
    <w:rsid w:val="00781D43"/>
    <w:rPr>
      <w:color w:val="FFFFFF"/>
      <w:sz w:val="20"/>
      <w:szCs w:val="20"/>
    </w:rPr>
  </w:style>
  <w:style w:type="paragraph" w:customStyle="1" w:styleId="iRChartNoteDark">
    <w:name w:val="iR Chart Note (Dark)"/>
    <w:basedOn w:val="Normal"/>
    <w:link w:val="iRChartNoteDarkChar"/>
    <w:rsid w:val="00781D43"/>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781D43"/>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781D43"/>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781D43"/>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781D43"/>
    <w:pPr>
      <w:spacing w:line="240" w:lineRule="exact"/>
    </w:pPr>
    <w:rPr>
      <w:color w:val="FFFFFF"/>
      <w:sz w:val="20"/>
      <w:szCs w:val="20"/>
    </w:rPr>
  </w:style>
  <w:style w:type="paragraph" w:customStyle="1" w:styleId="iRContactSheet-ContactName">
    <w:name w:val="iR Contact Sheet - Contact Name"/>
    <w:basedOn w:val="Normal"/>
    <w:rsid w:val="00781D43"/>
    <w:pPr>
      <w:spacing w:line="240" w:lineRule="exact"/>
    </w:pPr>
    <w:rPr>
      <w:color w:val="012464"/>
      <w:sz w:val="16"/>
      <w:szCs w:val="16"/>
    </w:rPr>
  </w:style>
  <w:style w:type="paragraph" w:customStyle="1" w:styleId="iRContactSheet-ContactTitleDept">
    <w:name w:val="iR Contact Sheet - Contact Title/Dept"/>
    <w:basedOn w:val="Normal"/>
    <w:rsid w:val="00781D43"/>
    <w:pPr>
      <w:ind w:right="63"/>
      <w:jc w:val="right"/>
    </w:pPr>
  </w:style>
  <w:style w:type="paragraph" w:customStyle="1" w:styleId="iRContactSheet-ContactEmail">
    <w:name w:val="iR Contact Sheet - Contact Email"/>
    <w:basedOn w:val="Normal"/>
    <w:rsid w:val="00781D43"/>
    <w:pPr>
      <w:ind w:right="63"/>
      <w:jc w:val="right"/>
    </w:pPr>
  </w:style>
  <w:style w:type="paragraph" w:customStyle="1" w:styleId="iRContactSheet-ContactPhone">
    <w:name w:val="iR Contact Sheet - Contact Phone"/>
    <w:basedOn w:val="Normal"/>
    <w:rsid w:val="00781D43"/>
    <w:pPr>
      <w:ind w:right="63"/>
      <w:jc w:val="right"/>
    </w:pPr>
  </w:style>
  <w:style w:type="paragraph" w:customStyle="1" w:styleId="iRTableSectionHeader">
    <w:name w:val="iR Table Section Header"/>
    <w:basedOn w:val="iRTableRow"/>
    <w:qFormat/>
    <w:rsid w:val="00781D43"/>
    <w:rPr>
      <w:color w:val="FFFFFF"/>
    </w:rPr>
  </w:style>
  <w:style w:type="paragraph" w:customStyle="1" w:styleId="iRDisclaimer">
    <w:name w:val="iR Disclaimer"/>
    <w:basedOn w:val="Normal"/>
    <w:rsid w:val="00E21EF3"/>
    <w:pPr>
      <w:spacing w:line="240" w:lineRule="exact"/>
      <w:ind w:right="63"/>
      <w:jc w:val="right"/>
    </w:pPr>
    <w:rPr>
      <w:b/>
      <w:bCs/>
    </w:rPr>
  </w:style>
  <w:style w:type="paragraph" w:styleId="BalloonText">
    <w:name w:val="Balloon Text"/>
    <w:basedOn w:val="Normal"/>
    <w:link w:val="BalloonTextChar"/>
    <w:rsid w:val="00781D43"/>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781D43"/>
    <w:pPr>
      <w:numPr>
        <w:numId w:val="14"/>
      </w:numPr>
    </w:pPr>
  </w:style>
  <w:style w:type="numbering" w:styleId="1ai">
    <w:name w:val="Outline List 1"/>
    <w:basedOn w:val="NoList"/>
    <w:rsid w:val="00781D43"/>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781D43"/>
    <w:pPr>
      <w:numPr>
        <w:numId w:val="16"/>
      </w:numPr>
    </w:pPr>
  </w:style>
  <w:style w:type="paragraph" w:styleId="Bibliography">
    <w:name w:val="Bibliography"/>
    <w:basedOn w:val="Normal"/>
    <w:next w:val="Normal"/>
    <w:uiPriority w:val="37"/>
    <w:semiHidden/>
    <w:unhideWhenUsed/>
    <w:rsid w:val="00781D43"/>
  </w:style>
  <w:style w:type="paragraph" w:styleId="BlockText">
    <w:name w:val="Block Text"/>
    <w:basedOn w:val="Normal"/>
    <w:rsid w:val="00781D43"/>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781D43"/>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781D43"/>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781D43"/>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781D43"/>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781D43"/>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781D43"/>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781D43"/>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781D43"/>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781D43"/>
    <w:rPr>
      <w:rFonts w:ascii="Tahoma" w:hAnsi="Tahoma" w:cs="Tahoma"/>
      <w:b/>
      <w:bCs/>
      <w:smallCaps/>
      <w:spacing w:val="5"/>
    </w:rPr>
  </w:style>
  <w:style w:type="paragraph" w:styleId="Caption">
    <w:name w:val="caption"/>
    <w:basedOn w:val="Normal"/>
    <w:next w:val="Normal"/>
    <w:semiHidden/>
    <w:unhideWhenUsed/>
    <w:qFormat/>
    <w:rsid w:val="00781D43"/>
    <w:pPr>
      <w:spacing w:after="200"/>
    </w:pPr>
    <w:rPr>
      <w:b/>
      <w:bCs/>
      <w:color w:val="012464" w:themeColor="accent1"/>
      <w:szCs w:val="18"/>
    </w:rPr>
  </w:style>
  <w:style w:type="paragraph" w:styleId="Closing">
    <w:name w:val="Closing"/>
    <w:basedOn w:val="Normal"/>
    <w:link w:val="ClosingChar"/>
    <w:rsid w:val="00781D43"/>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1D43"/>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781D43"/>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1D43"/>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81D43"/>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781D43"/>
    <w:rPr>
      <w:rFonts w:ascii="Tahoma" w:hAnsi="Tahoma" w:cs="Tahoma"/>
      <w:sz w:val="16"/>
      <w:szCs w:val="16"/>
    </w:rPr>
  </w:style>
  <w:style w:type="paragraph" w:styleId="CommentText">
    <w:name w:val="annotation text"/>
    <w:basedOn w:val="Normal"/>
    <w:link w:val="CommentTextChar"/>
    <w:rsid w:val="00781D43"/>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781D43"/>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781D43"/>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781D43"/>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781D43"/>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781D43"/>
    <w:rPr>
      <w:i/>
      <w:iCs/>
    </w:rPr>
  </w:style>
  <w:style w:type="character" w:styleId="EndnoteReference">
    <w:name w:val="endnote reference"/>
    <w:basedOn w:val="DefaultParagraphFont"/>
    <w:rsid w:val="00781D43"/>
    <w:rPr>
      <w:vertAlign w:val="superscript"/>
    </w:rPr>
  </w:style>
  <w:style w:type="paragraph" w:styleId="EndnoteText">
    <w:name w:val="endnote text"/>
    <w:basedOn w:val="Normal"/>
    <w:link w:val="EndnoteTextChar"/>
    <w:rsid w:val="00781D43"/>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781D43"/>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781D43"/>
    <w:rPr>
      <w:rFonts w:asciiTheme="majorHAnsi" w:eastAsiaTheme="majorEastAsia" w:hAnsiTheme="majorHAnsi" w:cstheme="majorBidi"/>
      <w:sz w:val="20"/>
      <w:szCs w:val="20"/>
    </w:rPr>
  </w:style>
  <w:style w:type="character" w:styleId="FollowedHyperlink">
    <w:name w:val="FollowedHyperlink"/>
    <w:basedOn w:val="DefaultParagraphFont"/>
    <w:rsid w:val="00781D43"/>
    <w:rPr>
      <w:color w:val="8DB3E2" w:themeColor="followedHyperlink"/>
      <w:u w:val="single"/>
    </w:rPr>
  </w:style>
  <w:style w:type="character" w:styleId="FootnoteReference">
    <w:name w:val="footnote reference"/>
    <w:basedOn w:val="DefaultParagraphFont"/>
    <w:rsid w:val="00781D43"/>
    <w:rPr>
      <w:vertAlign w:val="superscript"/>
    </w:rPr>
  </w:style>
  <w:style w:type="paragraph" w:styleId="FootnoteText">
    <w:name w:val="footnote text"/>
    <w:basedOn w:val="Normal"/>
    <w:link w:val="FootnoteTextChar"/>
    <w:rsid w:val="00781D43"/>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781D43"/>
  </w:style>
  <w:style w:type="paragraph" w:styleId="HTMLAddress">
    <w:name w:val="HTML Address"/>
    <w:basedOn w:val="Normal"/>
    <w:link w:val="HTMLAddressChar"/>
    <w:rsid w:val="00781D43"/>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781D43"/>
    <w:rPr>
      <w:i/>
      <w:iCs/>
    </w:rPr>
  </w:style>
  <w:style w:type="character" w:styleId="HTMLCode">
    <w:name w:val="HTML Code"/>
    <w:basedOn w:val="DefaultParagraphFont"/>
    <w:rsid w:val="00781D43"/>
    <w:rPr>
      <w:rFonts w:ascii="Consolas" w:hAnsi="Consolas"/>
      <w:sz w:val="20"/>
      <w:szCs w:val="20"/>
    </w:rPr>
  </w:style>
  <w:style w:type="character" w:styleId="HTMLDefinition">
    <w:name w:val="HTML Definition"/>
    <w:basedOn w:val="DefaultParagraphFont"/>
    <w:rsid w:val="00781D43"/>
    <w:rPr>
      <w:i/>
      <w:iCs/>
    </w:rPr>
  </w:style>
  <w:style w:type="character" w:styleId="HTMLKeyboard">
    <w:name w:val="HTML Keyboard"/>
    <w:basedOn w:val="DefaultParagraphFont"/>
    <w:rsid w:val="00781D43"/>
    <w:rPr>
      <w:rFonts w:ascii="Consolas" w:hAnsi="Consolas"/>
      <w:sz w:val="20"/>
      <w:szCs w:val="20"/>
    </w:rPr>
  </w:style>
  <w:style w:type="paragraph" w:styleId="HTMLPreformatted">
    <w:name w:val="HTML Preformatted"/>
    <w:basedOn w:val="Normal"/>
    <w:link w:val="HTMLPreformattedChar"/>
    <w:rsid w:val="00781D43"/>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781D43"/>
    <w:rPr>
      <w:rFonts w:ascii="Consolas" w:hAnsi="Consolas"/>
      <w:sz w:val="24"/>
      <w:szCs w:val="24"/>
    </w:rPr>
  </w:style>
  <w:style w:type="character" w:styleId="HTMLTypewriter">
    <w:name w:val="HTML Typewriter"/>
    <w:basedOn w:val="DefaultParagraphFont"/>
    <w:rsid w:val="00781D43"/>
    <w:rPr>
      <w:rFonts w:ascii="Consolas" w:hAnsi="Consolas"/>
      <w:sz w:val="20"/>
      <w:szCs w:val="20"/>
    </w:rPr>
  </w:style>
  <w:style w:type="character" w:styleId="HTMLVariable">
    <w:name w:val="HTML Variable"/>
    <w:basedOn w:val="DefaultParagraphFont"/>
    <w:rsid w:val="00781D43"/>
    <w:rPr>
      <w:i/>
      <w:iCs/>
    </w:rPr>
  </w:style>
  <w:style w:type="character" w:styleId="Hyperlink">
    <w:name w:val="Hyperlink"/>
    <w:basedOn w:val="DefaultParagraphFont"/>
    <w:rsid w:val="00781D43"/>
    <w:rPr>
      <w:color w:val="BFC8D8" w:themeColor="hyperlink"/>
      <w:u w:val="single"/>
    </w:rPr>
  </w:style>
  <w:style w:type="paragraph" w:styleId="Index1">
    <w:name w:val="index 1"/>
    <w:basedOn w:val="Normal"/>
    <w:next w:val="Normal"/>
    <w:autoRedefine/>
    <w:rsid w:val="00781D43"/>
    <w:pPr>
      <w:ind w:left="180" w:hanging="180"/>
    </w:pPr>
  </w:style>
  <w:style w:type="paragraph" w:styleId="Index2">
    <w:name w:val="index 2"/>
    <w:basedOn w:val="Normal"/>
    <w:next w:val="Normal"/>
    <w:autoRedefine/>
    <w:rsid w:val="00781D43"/>
    <w:pPr>
      <w:ind w:left="360" w:hanging="180"/>
    </w:pPr>
  </w:style>
  <w:style w:type="paragraph" w:styleId="Index3">
    <w:name w:val="index 3"/>
    <w:basedOn w:val="Normal"/>
    <w:next w:val="Normal"/>
    <w:autoRedefine/>
    <w:rsid w:val="00781D43"/>
    <w:pPr>
      <w:ind w:left="540" w:hanging="180"/>
    </w:pPr>
  </w:style>
  <w:style w:type="paragraph" w:styleId="Index4">
    <w:name w:val="index 4"/>
    <w:basedOn w:val="Normal"/>
    <w:next w:val="Normal"/>
    <w:autoRedefine/>
    <w:rsid w:val="00781D43"/>
    <w:pPr>
      <w:ind w:left="720" w:hanging="180"/>
    </w:pPr>
  </w:style>
  <w:style w:type="paragraph" w:styleId="Index5">
    <w:name w:val="index 5"/>
    <w:basedOn w:val="Normal"/>
    <w:next w:val="Normal"/>
    <w:autoRedefine/>
    <w:rsid w:val="00781D43"/>
    <w:pPr>
      <w:ind w:left="900" w:hanging="180"/>
    </w:pPr>
  </w:style>
  <w:style w:type="paragraph" w:styleId="Index6">
    <w:name w:val="index 6"/>
    <w:basedOn w:val="Normal"/>
    <w:next w:val="Normal"/>
    <w:autoRedefine/>
    <w:rsid w:val="00781D43"/>
    <w:pPr>
      <w:ind w:left="1080" w:hanging="180"/>
    </w:pPr>
  </w:style>
  <w:style w:type="paragraph" w:styleId="Index7">
    <w:name w:val="index 7"/>
    <w:basedOn w:val="Normal"/>
    <w:next w:val="Normal"/>
    <w:autoRedefine/>
    <w:rsid w:val="00781D43"/>
    <w:pPr>
      <w:ind w:left="1260" w:hanging="180"/>
    </w:pPr>
  </w:style>
  <w:style w:type="paragraph" w:styleId="Index8">
    <w:name w:val="index 8"/>
    <w:basedOn w:val="Normal"/>
    <w:next w:val="Normal"/>
    <w:autoRedefine/>
    <w:rsid w:val="00781D43"/>
    <w:pPr>
      <w:ind w:left="1440" w:hanging="180"/>
    </w:pPr>
  </w:style>
  <w:style w:type="paragraph" w:styleId="Index9">
    <w:name w:val="index 9"/>
    <w:basedOn w:val="Normal"/>
    <w:next w:val="Normal"/>
    <w:autoRedefine/>
    <w:rsid w:val="00781D43"/>
    <w:pPr>
      <w:ind w:left="1620" w:hanging="180"/>
    </w:pPr>
  </w:style>
  <w:style w:type="paragraph" w:styleId="IndexHeading">
    <w:name w:val="index heading"/>
    <w:basedOn w:val="Normal"/>
    <w:next w:val="Index1"/>
    <w:rsid w:val="00781D43"/>
    <w:rPr>
      <w:rFonts w:asciiTheme="majorHAnsi" w:eastAsiaTheme="majorEastAsia" w:hAnsiTheme="majorHAnsi" w:cstheme="majorBidi"/>
      <w:b/>
      <w:bCs/>
    </w:rPr>
  </w:style>
  <w:style w:type="character" w:styleId="IntenseEmphasis">
    <w:name w:val="Intense Emphasis"/>
    <w:basedOn w:val="DefaultParagraphFont"/>
    <w:uiPriority w:val="21"/>
    <w:qFormat/>
    <w:rsid w:val="00781D43"/>
    <w:rPr>
      <w:b/>
      <w:bCs/>
      <w:i/>
      <w:iCs/>
      <w:color w:val="012464" w:themeColor="accent1"/>
    </w:rPr>
  </w:style>
  <w:style w:type="paragraph" w:styleId="IntenseQuote">
    <w:name w:val="Intense Quote"/>
    <w:basedOn w:val="Normal"/>
    <w:next w:val="Normal"/>
    <w:link w:val="IntenseQuoteChar"/>
    <w:uiPriority w:val="30"/>
    <w:qFormat/>
    <w:rsid w:val="00781D43"/>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781D43"/>
    <w:rPr>
      <w:b/>
      <w:bCs/>
      <w:smallCaps/>
      <w:color w:val="26467C" w:themeColor="accent2"/>
      <w:spacing w:val="5"/>
      <w:u w:val="single"/>
    </w:rPr>
  </w:style>
  <w:style w:type="table" w:customStyle="1" w:styleId="LightGrid1">
    <w:name w:val="Light Grid1"/>
    <w:basedOn w:val="TableNormal"/>
    <w:uiPriority w:val="62"/>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781D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81D43"/>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781D43"/>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781D43"/>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781D43"/>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781D43"/>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781D43"/>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781D43"/>
  </w:style>
  <w:style w:type="paragraph" w:styleId="List">
    <w:name w:val="List"/>
    <w:basedOn w:val="Normal"/>
    <w:rsid w:val="00781D43"/>
    <w:pPr>
      <w:ind w:left="283" w:hanging="283"/>
      <w:contextualSpacing/>
    </w:pPr>
  </w:style>
  <w:style w:type="paragraph" w:styleId="List2">
    <w:name w:val="List 2"/>
    <w:basedOn w:val="Normal"/>
    <w:rsid w:val="00781D43"/>
    <w:pPr>
      <w:ind w:left="566" w:hanging="283"/>
      <w:contextualSpacing/>
    </w:pPr>
  </w:style>
  <w:style w:type="paragraph" w:styleId="List3">
    <w:name w:val="List 3"/>
    <w:basedOn w:val="Normal"/>
    <w:rsid w:val="00781D43"/>
    <w:pPr>
      <w:ind w:left="849" w:hanging="283"/>
      <w:contextualSpacing/>
    </w:pPr>
  </w:style>
  <w:style w:type="paragraph" w:styleId="List4">
    <w:name w:val="List 4"/>
    <w:basedOn w:val="Normal"/>
    <w:rsid w:val="00781D43"/>
    <w:pPr>
      <w:ind w:left="1132" w:hanging="283"/>
      <w:contextualSpacing/>
    </w:pPr>
  </w:style>
  <w:style w:type="paragraph" w:styleId="List5">
    <w:name w:val="List 5"/>
    <w:basedOn w:val="Normal"/>
    <w:rsid w:val="00781D43"/>
    <w:pPr>
      <w:ind w:left="1415" w:hanging="283"/>
      <w:contextualSpacing/>
    </w:pPr>
  </w:style>
  <w:style w:type="paragraph" w:styleId="ListBullet">
    <w:name w:val="List Bullet"/>
    <w:basedOn w:val="Normal"/>
    <w:rsid w:val="00781D43"/>
    <w:pPr>
      <w:numPr>
        <w:numId w:val="35"/>
      </w:numPr>
      <w:contextualSpacing/>
    </w:pPr>
  </w:style>
  <w:style w:type="paragraph" w:styleId="ListBullet2">
    <w:name w:val="List Bullet 2"/>
    <w:basedOn w:val="Normal"/>
    <w:rsid w:val="00781D43"/>
    <w:pPr>
      <w:numPr>
        <w:numId w:val="36"/>
      </w:numPr>
      <w:contextualSpacing/>
    </w:pPr>
  </w:style>
  <w:style w:type="paragraph" w:styleId="ListBullet3">
    <w:name w:val="List Bullet 3"/>
    <w:basedOn w:val="Normal"/>
    <w:rsid w:val="00781D43"/>
    <w:pPr>
      <w:numPr>
        <w:numId w:val="37"/>
      </w:numPr>
      <w:contextualSpacing/>
    </w:pPr>
  </w:style>
  <w:style w:type="paragraph" w:styleId="ListBullet4">
    <w:name w:val="List Bullet 4"/>
    <w:basedOn w:val="Normal"/>
    <w:rsid w:val="00781D43"/>
    <w:pPr>
      <w:numPr>
        <w:numId w:val="38"/>
      </w:numPr>
      <w:contextualSpacing/>
    </w:pPr>
  </w:style>
  <w:style w:type="paragraph" w:styleId="ListBullet5">
    <w:name w:val="List Bullet 5"/>
    <w:basedOn w:val="Normal"/>
    <w:rsid w:val="00781D43"/>
    <w:pPr>
      <w:numPr>
        <w:numId w:val="39"/>
      </w:numPr>
      <w:contextualSpacing/>
    </w:pPr>
  </w:style>
  <w:style w:type="paragraph" w:styleId="ListContinue">
    <w:name w:val="List Continue"/>
    <w:basedOn w:val="Normal"/>
    <w:rsid w:val="00781D43"/>
    <w:pPr>
      <w:spacing w:after="120"/>
      <w:ind w:left="283"/>
      <w:contextualSpacing/>
    </w:pPr>
  </w:style>
  <w:style w:type="paragraph" w:styleId="ListContinue2">
    <w:name w:val="List Continue 2"/>
    <w:basedOn w:val="Normal"/>
    <w:rsid w:val="00781D43"/>
    <w:pPr>
      <w:spacing w:after="120"/>
      <w:ind w:left="566"/>
      <w:contextualSpacing/>
    </w:pPr>
  </w:style>
  <w:style w:type="paragraph" w:styleId="ListContinue3">
    <w:name w:val="List Continue 3"/>
    <w:basedOn w:val="Normal"/>
    <w:rsid w:val="00781D43"/>
    <w:pPr>
      <w:spacing w:after="120"/>
      <w:ind w:left="849"/>
      <w:contextualSpacing/>
    </w:pPr>
  </w:style>
  <w:style w:type="paragraph" w:styleId="ListContinue4">
    <w:name w:val="List Continue 4"/>
    <w:basedOn w:val="Normal"/>
    <w:rsid w:val="00781D43"/>
    <w:pPr>
      <w:spacing w:after="120"/>
      <w:ind w:left="1132"/>
      <w:contextualSpacing/>
    </w:pPr>
  </w:style>
  <w:style w:type="paragraph" w:styleId="ListContinue5">
    <w:name w:val="List Continue 5"/>
    <w:basedOn w:val="Normal"/>
    <w:rsid w:val="00781D43"/>
    <w:pPr>
      <w:spacing w:after="120"/>
      <w:ind w:left="1415"/>
      <w:contextualSpacing/>
    </w:pPr>
  </w:style>
  <w:style w:type="paragraph" w:styleId="ListNumber">
    <w:name w:val="List Number"/>
    <w:basedOn w:val="Normal"/>
    <w:rsid w:val="00781D43"/>
    <w:pPr>
      <w:numPr>
        <w:numId w:val="40"/>
      </w:numPr>
      <w:contextualSpacing/>
    </w:pPr>
  </w:style>
  <w:style w:type="paragraph" w:styleId="ListNumber2">
    <w:name w:val="List Number 2"/>
    <w:basedOn w:val="Normal"/>
    <w:rsid w:val="00781D43"/>
    <w:pPr>
      <w:numPr>
        <w:numId w:val="41"/>
      </w:numPr>
      <w:contextualSpacing/>
    </w:pPr>
  </w:style>
  <w:style w:type="paragraph" w:styleId="ListNumber3">
    <w:name w:val="List Number 3"/>
    <w:basedOn w:val="Normal"/>
    <w:rsid w:val="00781D43"/>
    <w:pPr>
      <w:numPr>
        <w:numId w:val="42"/>
      </w:numPr>
      <w:contextualSpacing/>
    </w:pPr>
  </w:style>
  <w:style w:type="paragraph" w:styleId="ListNumber4">
    <w:name w:val="List Number 4"/>
    <w:basedOn w:val="Normal"/>
    <w:rsid w:val="00781D43"/>
    <w:pPr>
      <w:numPr>
        <w:numId w:val="43"/>
      </w:numPr>
      <w:contextualSpacing/>
    </w:pPr>
  </w:style>
  <w:style w:type="paragraph" w:styleId="ListNumber5">
    <w:name w:val="List Number 5"/>
    <w:basedOn w:val="Normal"/>
    <w:rsid w:val="00781D43"/>
    <w:pPr>
      <w:numPr>
        <w:numId w:val="44"/>
      </w:numPr>
      <w:contextualSpacing/>
    </w:pPr>
  </w:style>
  <w:style w:type="paragraph" w:styleId="ListParagraph">
    <w:name w:val="List Paragraph"/>
    <w:basedOn w:val="Normal"/>
    <w:uiPriority w:val="34"/>
    <w:qFormat/>
    <w:rsid w:val="00781D43"/>
    <w:pPr>
      <w:ind w:left="720"/>
      <w:contextualSpacing/>
    </w:pPr>
  </w:style>
  <w:style w:type="paragraph" w:styleId="MacroText">
    <w:name w:val="macro"/>
    <w:link w:val="MacroTextChar"/>
    <w:rsid w:val="00781D4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781D4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81D43"/>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781D43"/>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781D43"/>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781D43"/>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781D43"/>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781D43"/>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781D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781D43"/>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781D43"/>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781D43"/>
    <w:rPr>
      <w:color w:val="808080"/>
    </w:rPr>
  </w:style>
  <w:style w:type="paragraph" w:styleId="PlainText">
    <w:name w:val="Plain Text"/>
    <w:basedOn w:val="Normal"/>
    <w:link w:val="PlainTextChar"/>
    <w:rsid w:val="00781D43"/>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781D43"/>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781D43"/>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781D43"/>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781D43"/>
    <w:rPr>
      <w:b/>
      <w:bCs/>
    </w:rPr>
  </w:style>
  <w:style w:type="paragraph" w:styleId="Subtitle">
    <w:name w:val="Subtitle"/>
    <w:basedOn w:val="Normal"/>
    <w:next w:val="Normal"/>
    <w:link w:val="SubtitleChar"/>
    <w:qFormat/>
    <w:rsid w:val="00781D43"/>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781D43"/>
    <w:rPr>
      <w:i/>
      <w:iCs/>
      <w:color w:val="808080" w:themeColor="text1" w:themeTint="7F"/>
    </w:rPr>
  </w:style>
  <w:style w:type="character" w:styleId="SubtleReference">
    <w:name w:val="Subtle Reference"/>
    <w:basedOn w:val="DefaultParagraphFont"/>
    <w:uiPriority w:val="31"/>
    <w:qFormat/>
    <w:rsid w:val="00781D43"/>
    <w:rPr>
      <w:smallCaps/>
      <w:color w:val="26467C" w:themeColor="accent2"/>
      <w:u w:val="single"/>
    </w:rPr>
  </w:style>
  <w:style w:type="table" w:styleId="Table3Deffects1">
    <w:name w:val="Table 3D effects 1"/>
    <w:basedOn w:val="TableNormal"/>
    <w:rsid w:val="00781D4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1D4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1D4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1D4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1D4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81D4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1D4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1D4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81D4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1D4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1D4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1D4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1D4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81D4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81D4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81D4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1D4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81D4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1D4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1D4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1D4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81D4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1D4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1D4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81D4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81D43"/>
    <w:pPr>
      <w:ind w:left="180" w:hanging="180"/>
    </w:pPr>
  </w:style>
  <w:style w:type="paragraph" w:styleId="TableofFigures">
    <w:name w:val="table of figures"/>
    <w:basedOn w:val="Normal"/>
    <w:next w:val="Normal"/>
    <w:rsid w:val="00781D43"/>
  </w:style>
  <w:style w:type="table" w:styleId="TableProfessional">
    <w:name w:val="Table Professional"/>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81D4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1D4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1D4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1D4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1D4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81D4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1D4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1D4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781D43"/>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781D43"/>
    <w:pPr>
      <w:spacing w:before="120"/>
    </w:pPr>
    <w:rPr>
      <w:rFonts w:asciiTheme="majorHAnsi" w:eastAsiaTheme="majorEastAsia" w:hAnsiTheme="majorHAnsi" w:cstheme="majorBidi"/>
      <w:b/>
      <w:bCs/>
      <w:sz w:val="24"/>
    </w:rPr>
  </w:style>
  <w:style w:type="paragraph" w:styleId="TOC1">
    <w:name w:val="toc 1"/>
    <w:basedOn w:val="Normal"/>
    <w:next w:val="Normal"/>
    <w:autoRedefine/>
    <w:rsid w:val="00781D43"/>
    <w:pPr>
      <w:spacing w:after="100"/>
    </w:pPr>
  </w:style>
  <w:style w:type="paragraph" w:styleId="TOC2">
    <w:name w:val="toc 2"/>
    <w:basedOn w:val="Normal"/>
    <w:next w:val="Normal"/>
    <w:autoRedefine/>
    <w:rsid w:val="00781D43"/>
    <w:pPr>
      <w:spacing w:after="100"/>
      <w:ind w:left="180"/>
    </w:pPr>
  </w:style>
  <w:style w:type="paragraph" w:styleId="TOC3">
    <w:name w:val="toc 3"/>
    <w:basedOn w:val="Normal"/>
    <w:next w:val="Normal"/>
    <w:autoRedefine/>
    <w:rsid w:val="00781D43"/>
    <w:pPr>
      <w:spacing w:after="100"/>
      <w:ind w:left="360"/>
    </w:pPr>
  </w:style>
  <w:style w:type="paragraph" w:styleId="TOC4">
    <w:name w:val="toc 4"/>
    <w:basedOn w:val="Normal"/>
    <w:next w:val="Normal"/>
    <w:autoRedefine/>
    <w:rsid w:val="00781D43"/>
    <w:pPr>
      <w:spacing w:after="100"/>
      <w:ind w:left="540"/>
    </w:pPr>
  </w:style>
  <w:style w:type="paragraph" w:styleId="TOC5">
    <w:name w:val="toc 5"/>
    <w:basedOn w:val="Normal"/>
    <w:next w:val="Normal"/>
    <w:autoRedefine/>
    <w:rsid w:val="00781D43"/>
    <w:pPr>
      <w:spacing w:after="100"/>
      <w:ind w:left="720"/>
    </w:pPr>
  </w:style>
  <w:style w:type="paragraph" w:styleId="TOC6">
    <w:name w:val="toc 6"/>
    <w:basedOn w:val="Normal"/>
    <w:next w:val="Normal"/>
    <w:autoRedefine/>
    <w:rsid w:val="00781D43"/>
    <w:pPr>
      <w:spacing w:after="100"/>
      <w:ind w:left="900"/>
    </w:pPr>
  </w:style>
  <w:style w:type="paragraph" w:styleId="TOC7">
    <w:name w:val="toc 7"/>
    <w:basedOn w:val="Normal"/>
    <w:next w:val="Normal"/>
    <w:autoRedefine/>
    <w:rsid w:val="00781D43"/>
    <w:pPr>
      <w:spacing w:after="100"/>
      <w:ind w:left="1080"/>
    </w:pPr>
  </w:style>
  <w:style w:type="paragraph" w:styleId="TOC8">
    <w:name w:val="toc 8"/>
    <w:basedOn w:val="Normal"/>
    <w:next w:val="Normal"/>
    <w:autoRedefine/>
    <w:rsid w:val="00781D43"/>
    <w:pPr>
      <w:spacing w:after="100"/>
      <w:ind w:left="1260"/>
    </w:pPr>
  </w:style>
  <w:style w:type="paragraph" w:styleId="TOC9">
    <w:name w:val="toc 9"/>
    <w:basedOn w:val="Normal"/>
    <w:next w:val="Normal"/>
    <w:autoRedefine/>
    <w:rsid w:val="00781D43"/>
    <w:pPr>
      <w:spacing w:after="100"/>
      <w:ind w:left="1440"/>
    </w:pPr>
  </w:style>
  <w:style w:type="paragraph" w:styleId="TOCHeading">
    <w:name w:val="TOC Heading"/>
    <w:basedOn w:val="Heading1"/>
    <w:next w:val="Normal"/>
    <w:uiPriority w:val="39"/>
    <w:semiHidden/>
    <w:unhideWhenUsed/>
    <w:qFormat/>
    <w:rsid w:val="00781D43"/>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781D43"/>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82E-2"/>
          <c:w val="0.924901185770736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1.9500000000000095</c:v>
                </c:pt>
                <c:pt idx="137">
                  <c:v>1.9500000000000095</c:v>
                </c:pt>
                <c:pt idx="138">
                  <c:v>1.7300000000000002</c:v>
                </c:pt>
                <c:pt idx="139">
                  <c:v>1.9200000000000019</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1.6900000000000097</c:v>
                </c:pt>
                <c:pt idx="119">
                  <c:v>1.7800000000000002</c:v>
                </c:pt>
                <c:pt idx="120">
                  <c:v>1.7900000000000003</c:v>
                </c:pt>
                <c:pt idx="121">
                  <c:v>1.7400000000000002</c:v>
                </c:pt>
                <c:pt idx="122">
                  <c:v>1.84</c:v>
                </c:pt>
                <c:pt idx="123">
                  <c:v>1.9</c:v>
                </c:pt>
                <c:pt idx="124">
                  <c:v>1.9500000000000095</c:v>
                </c:pt>
                <c:pt idx="125">
                  <c:v>1.9700000000000095</c:v>
                </c:pt>
                <c:pt idx="126">
                  <c:v>1.9400000000000095</c:v>
                </c:pt>
                <c:pt idx="127">
                  <c:v>1.9400000000000095</c:v>
                </c:pt>
                <c:pt idx="128">
                  <c:v>1.9900000000000106</c:v>
                </c:pt>
                <c:pt idx="129">
                  <c:v>1.9800000000000106</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1.6900000000000097</c:v>
                </c:pt>
                <c:pt idx="153">
                  <c:v>1.6900000000000097</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c:v>
                </c:pt>
                <c:pt idx="243">
                  <c:v>1.8900000000000001</c:v>
                </c:pt>
                <c:pt idx="244">
                  <c:v>1.8800000000000001</c:v>
                </c:pt>
                <c:pt idx="245">
                  <c:v>1.91</c:v>
                </c:pt>
                <c:pt idx="246">
                  <c:v>1.9300000000000095</c:v>
                </c:pt>
                <c:pt idx="247">
                  <c:v>1.9900000000000106</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83402752"/>
        <c:axId val="83404288"/>
      </c:lineChart>
      <c:dateAx>
        <c:axId val="83402752"/>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83404288"/>
        <c:crossesAt val="0.30000000000000032"/>
        <c:auto val="1"/>
        <c:lblOffset val="100"/>
        <c:baseTimeUnit val="days"/>
        <c:majorUnit val="1"/>
        <c:majorTimeUnit val="months"/>
        <c:minorUnit val="1"/>
        <c:minorTimeUnit val="days"/>
      </c:dateAx>
      <c:valAx>
        <c:axId val="83404288"/>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83402752"/>
        <c:crosses val="autoZero"/>
        <c:crossBetween val="between"/>
        <c:majorUnit val="1"/>
        <c:minorUnit val="1"/>
      </c:valAx>
      <c:spPr>
        <a:noFill/>
        <a:ln w="25375">
          <a:noFill/>
        </a:ln>
      </c:spPr>
    </c:plotArea>
    <c:legend>
      <c:legendPos val="b"/>
      <c:layout>
        <c:manualLayout>
          <c:xMode val="edge"/>
          <c:yMode val="edge"/>
          <c:x val="0.17352688455842669"/>
          <c:y val="0.84224128233971485"/>
          <c:w val="0.667843810026551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50262-0985-4C5E-A4D2-E881CF2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0</TotalTime>
  <Pages>1</Pages>
  <Words>397</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cp:revision>
  <cp:lastPrinted>2010-08-26T10:57:00Z</cp:lastPrinted>
  <dcterms:created xsi:type="dcterms:W3CDTF">2010-09-27T13:58:00Z</dcterms:created>
  <dcterms:modified xsi:type="dcterms:W3CDTF">2010-09-27T13:58:00Z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