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w:t>
                  </w:r>
                  <w:proofErr w:type="spellStart"/>
                  <w:r w:rsidR="00C70EDA">
                    <w:rPr>
                      <w:b/>
                      <w:bCs/>
                      <w:color w:val="auto"/>
                      <w:sz w:val="22"/>
                    </w:rPr>
                    <w:t>EGPm</w:t>
                  </w:r>
                  <w:proofErr w:type="spellEnd"/>
                  <w:r w:rsidR="00C70EDA">
                    <w:rPr>
                      <w:b/>
                      <w:bCs/>
                      <w:color w:val="auto"/>
                      <w:sz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47"/>
              <w:gridCol w:w="948"/>
              <w:gridCol w:w="38"/>
              <w:gridCol w:w="909"/>
              <w:gridCol w:w="287"/>
            </w:tblGrid>
            <w:tr w:rsidR="00A90D46" w:rsidRPr="0027099F" w:rsidTr="00A90D46">
              <w:trPr>
                <w:gridAfter w:val="1"/>
                <w:wAfter w:w="459" w:type="pct"/>
                <w:trHeight w:val="288"/>
              </w:trPr>
              <w:tc>
                <w:tcPr>
                  <w:tcW w:w="151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rPr>
                      <w:b/>
                      <w:bCs/>
                      <w:sz w:val="21"/>
                      <w:szCs w:val="21"/>
                    </w:rPr>
                  </w:pPr>
                  <w:r w:rsidRPr="00A90D46">
                    <w:rPr>
                      <w:b/>
                      <w:bCs/>
                      <w:sz w:val="21"/>
                      <w:szCs w:val="21"/>
                    </w:rPr>
                    <w:t>Stock</w:t>
                  </w:r>
                </w:p>
              </w:tc>
              <w:tc>
                <w:tcPr>
                  <w:tcW w:w="1576" w:type="pct"/>
                  <w:gridSpan w:val="2"/>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TP (EGP)</w:t>
                  </w:r>
                </w:p>
              </w:tc>
              <w:tc>
                <w:tcPr>
                  <w:tcW w:w="1453" w:type="pct"/>
                  <w:tcBorders>
                    <w:top w:val="single" w:sz="6" w:space="0" w:color="396295" w:themeColor="accent6" w:themeShade="80"/>
                    <w:bottom w:val="single" w:sz="6" w:space="0" w:color="396295" w:themeColor="accent6" w:themeShade="80"/>
                  </w:tcBorders>
                  <w:vAlign w:val="center"/>
                </w:tcPr>
                <w:p w:rsidR="00A90D46" w:rsidRPr="00A90D46" w:rsidRDefault="00A90D46" w:rsidP="002115A6">
                  <w:pPr>
                    <w:spacing w:before="40" w:after="40" w:line="240" w:lineRule="exact"/>
                    <w:jc w:val="right"/>
                    <w:rPr>
                      <w:b/>
                      <w:bCs/>
                      <w:sz w:val="21"/>
                      <w:szCs w:val="21"/>
                    </w:rPr>
                  </w:pPr>
                  <w:r w:rsidRPr="00A90D46">
                    <w:rPr>
                      <w:b/>
                      <w:bCs/>
                      <w:sz w:val="21"/>
                      <w:szCs w:val="21"/>
                    </w:rPr>
                    <w:t>Upside</w:t>
                  </w:r>
                </w:p>
              </w:tc>
            </w:tr>
            <w:tr w:rsidR="00A90D46" w:rsidRPr="0027099F" w:rsidTr="00A90D46">
              <w:trPr>
                <w:gridAfter w:val="1"/>
                <w:wAfter w:w="459" w:type="pct"/>
              </w:trPr>
              <w:tc>
                <w:tcPr>
                  <w:tcW w:w="1513" w:type="pct"/>
                  <w:tcBorders>
                    <w:top w:val="single" w:sz="6" w:space="0" w:color="396295" w:themeColor="accent6" w:themeShade="80"/>
                  </w:tcBorders>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tcBorders>
                    <w:top w:val="single" w:sz="6" w:space="0" w:color="396295" w:themeColor="accent6" w:themeShade="80"/>
                  </w:tcBorders>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spacing w:line="240" w:lineRule="exact"/>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keepNext/>
                    <w:keepLines/>
                    <w:outlineLvl w:val="5"/>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keepNext/>
                    <w:keepLines/>
                    <w:jc w:val="right"/>
                    <w:outlineLvl w:val="5"/>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A90D46" w:rsidRPr="0027099F" w:rsidTr="00A90D46">
              <w:trPr>
                <w:gridAfter w:val="1"/>
                <w:wAfter w:w="459" w:type="pct"/>
              </w:trPr>
              <w:tc>
                <w:tcPr>
                  <w:tcW w:w="1513" w:type="pct"/>
                  <w:vAlign w:val="center"/>
                </w:tcPr>
                <w:p w:rsidR="00A90D46" w:rsidRPr="00A90D46" w:rsidRDefault="00A90D46" w:rsidP="002115A6">
                  <w:pPr>
                    <w:spacing w:line="240" w:lineRule="exact"/>
                    <w:rPr>
                      <w:sz w:val="21"/>
                      <w:szCs w:val="21"/>
                    </w:rPr>
                  </w:pPr>
                  <w:r w:rsidRPr="00A90D46">
                    <w:rPr>
                      <w:sz w:val="21"/>
                      <w:szCs w:val="21"/>
                    </w:rPr>
                    <w:t>Stock</w:t>
                  </w:r>
                </w:p>
              </w:tc>
              <w:tc>
                <w:tcPr>
                  <w:tcW w:w="1515" w:type="pct"/>
                  <w:vAlign w:val="center"/>
                </w:tcPr>
                <w:p w:rsidR="00A90D46" w:rsidRPr="00A90D46" w:rsidRDefault="00A90D46" w:rsidP="002115A6">
                  <w:pPr>
                    <w:jc w:val="right"/>
                    <w:rPr>
                      <w:sz w:val="21"/>
                      <w:szCs w:val="21"/>
                    </w:rPr>
                  </w:pPr>
                  <w:r w:rsidRPr="00A90D46">
                    <w:rPr>
                      <w:sz w:val="21"/>
                      <w:szCs w:val="21"/>
                    </w:rPr>
                    <w:t>10</w:t>
                  </w:r>
                </w:p>
              </w:tc>
              <w:tc>
                <w:tcPr>
                  <w:tcW w:w="1513" w:type="pct"/>
                  <w:gridSpan w:val="2"/>
                  <w:vAlign w:val="center"/>
                </w:tcPr>
                <w:p w:rsidR="00A90D46" w:rsidRPr="00A90D46" w:rsidRDefault="00A90D46" w:rsidP="002115A6">
                  <w:pPr>
                    <w:spacing w:line="240" w:lineRule="exact"/>
                    <w:jc w:val="right"/>
                    <w:rPr>
                      <w:sz w:val="21"/>
                      <w:szCs w:val="21"/>
                    </w:rPr>
                  </w:pPr>
                  <w:r w:rsidRPr="00A90D46">
                    <w:rPr>
                      <w:sz w:val="21"/>
                      <w:szCs w:val="21"/>
                    </w:rPr>
                    <w:t>10%</w:t>
                  </w:r>
                </w:p>
              </w:tc>
            </w:tr>
            <w:tr w:rsidR="0026186B" w:rsidRPr="007710A9" w:rsidTr="00A90D46">
              <w:trPr>
                <w:trHeight w:val="274"/>
              </w:trPr>
              <w:tc>
                <w:tcPr>
                  <w:tcW w:w="5000" w:type="pct"/>
                  <w:gridSpan w:val="5"/>
                  <w:vAlign w:val="center"/>
                </w:tcPr>
                <w:p w:rsidR="0026186B" w:rsidRPr="007710A9" w:rsidRDefault="0026186B" w:rsidP="00A90D46">
                  <w:pPr>
                    <w:spacing w:before="40" w:line="240" w:lineRule="exact"/>
                    <w:rPr>
                      <w:sz w:val="16"/>
                      <w:szCs w:val="16"/>
                    </w:rPr>
                  </w:pPr>
                  <w:r w:rsidRPr="007710A9">
                    <w:rPr>
                      <w:sz w:val="16"/>
                      <w:szCs w:val="16"/>
                    </w:rPr>
                    <w:t>Note: All prices as of XX</w:t>
                  </w:r>
                </w:p>
              </w:tc>
            </w:tr>
          </w:tbl>
          <w:p w:rsidR="00926691" w:rsidRPr="00DE3251"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Default="00070ED3" w:rsidP="00A21CC2">
            <w:pPr>
              <w:ind w:right="63"/>
              <w:jc w:val="right"/>
              <w:rPr>
                <w:szCs w:val="18"/>
              </w:rPr>
            </w:pPr>
          </w:p>
          <w:p w:rsidR="008E4DC1" w:rsidRPr="008A11AD" w:rsidRDefault="008E4DC1" w:rsidP="00A21CC2">
            <w:pPr>
              <w:ind w:right="63"/>
              <w:jc w:val="right"/>
              <w:rPr>
                <w:szCs w:val="18"/>
              </w:rPr>
            </w:pPr>
          </w:p>
          <w:p w:rsidR="00810BAF" w:rsidRPr="00C8255E" w:rsidRDefault="0097064A" w:rsidP="00A21CC2">
            <w:pPr>
              <w:ind w:right="63"/>
              <w:jc w:val="right"/>
              <w:rPr>
                <w:b/>
                <w:bCs/>
                <w:sz w:val="24"/>
              </w:rPr>
            </w:pPr>
            <w:fldSimple w:instr=" DOCPROPERTY  iR_Report_Date  \* MERGEFORMAT ">
              <w:r w:rsidR="00E95FF1">
                <w:rPr>
                  <w:b/>
                  <w:bCs/>
                  <w:sz w:val="24"/>
                </w:rPr>
                <w:t xml:space="preserve"> #Report-Date#</w:t>
              </w:r>
            </w:fldSimple>
          </w:p>
          <w:p w:rsidR="000D1A73" w:rsidRPr="004A0591" w:rsidRDefault="000D1A73" w:rsidP="00A21CC2">
            <w:pPr>
              <w:ind w:right="63"/>
              <w:jc w:val="right"/>
            </w:pPr>
          </w:p>
          <w:p w:rsidR="0019087E" w:rsidRPr="009C5E6A" w:rsidRDefault="0019087E" w:rsidP="00A21CC2">
            <w:pPr>
              <w:ind w:right="63"/>
              <w:jc w:val="right"/>
              <w:rPr>
                <w:b/>
                <w:bCs/>
              </w:rPr>
            </w:pPr>
            <w:r w:rsidRPr="009C5E6A">
              <w:rPr>
                <w:b/>
                <w:bCs/>
              </w:rPr>
              <w:t>Contact Name</w:t>
            </w:r>
          </w:p>
          <w:p w:rsidR="00EE239F" w:rsidRDefault="00EE239F" w:rsidP="00A21CC2">
            <w:pPr>
              <w:ind w:right="63"/>
              <w:jc w:val="right"/>
            </w:pPr>
            <w:r>
              <w:t>Analyst</w:t>
            </w:r>
          </w:p>
          <w:p w:rsidR="0019087E" w:rsidRPr="009C5E6A" w:rsidRDefault="0019087E" w:rsidP="00A21CC2">
            <w:pPr>
              <w:ind w:right="63"/>
              <w:jc w:val="right"/>
            </w:pPr>
            <w:r w:rsidRPr="009C5E6A">
              <w:t>+</w:t>
            </w:r>
            <w:r>
              <w:t xml:space="preserve">971 4 </w:t>
            </w:r>
            <w:r w:rsidRPr="009C5E6A">
              <w:t>456</w:t>
            </w:r>
            <w:r>
              <w:t xml:space="preserve"> </w:t>
            </w:r>
            <w:r w:rsidRPr="009C5E6A">
              <w:t>7890</w:t>
            </w:r>
          </w:p>
          <w:p w:rsidR="0019087E" w:rsidRPr="009C5E6A" w:rsidRDefault="0019087E" w:rsidP="00A21CC2">
            <w:pPr>
              <w:ind w:right="63"/>
              <w:jc w:val="right"/>
            </w:pPr>
            <w:r w:rsidRPr="009C5E6A">
              <w:t>contact@hc-si.com</w:t>
            </w:r>
          </w:p>
          <w:p w:rsidR="00A96396" w:rsidRDefault="00A96396" w:rsidP="00A21CC2">
            <w:pPr>
              <w:ind w:right="63"/>
              <w:jc w:val="right"/>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 xml:space="preserve">971 4 </w:t>
            </w:r>
            <w:r w:rsidRPr="009C5E6A">
              <w:t>456</w:t>
            </w:r>
            <w:r w:rsidR="00D6204E">
              <w:t xml:space="preserve"> </w:t>
            </w:r>
            <w:r w:rsidRPr="009C5E6A">
              <w:t>7890</w:t>
            </w:r>
          </w:p>
          <w:p w:rsidR="00A75CE0" w:rsidRPr="009C5E6A" w:rsidRDefault="00A75CE0" w:rsidP="00A21CC2">
            <w:pPr>
              <w:ind w:right="63"/>
              <w:jc w:val="right"/>
            </w:pPr>
            <w:r w:rsidRPr="009C5E6A">
              <w:t>contact@hc-si.com</w:t>
            </w:r>
          </w:p>
          <w:p w:rsidR="00A75CE0" w:rsidRPr="00525126" w:rsidRDefault="00A75CE0" w:rsidP="00A21CC2">
            <w:pPr>
              <w:ind w:right="63"/>
              <w:jc w:val="right"/>
              <w:rPr>
                <w:szCs w:val="18"/>
              </w:rPr>
            </w:pPr>
          </w:p>
          <w:p w:rsidR="00A75CE0" w:rsidRPr="009C5E6A" w:rsidRDefault="00A75CE0" w:rsidP="00A21CC2">
            <w:pPr>
              <w:ind w:right="63"/>
              <w:jc w:val="right"/>
              <w:rPr>
                <w:b/>
                <w:bCs/>
              </w:rPr>
            </w:pPr>
            <w:r w:rsidRPr="009C5E6A">
              <w:rPr>
                <w:b/>
                <w:bCs/>
              </w:rPr>
              <w:t>Contact Name</w:t>
            </w:r>
          </w:p>
          <w:p w:rsidR="00EE239F" w:rsidRDefault="00EE239F" w:rsidP="00A21CC2">
            <w:pPr>
              <w:ind w:right="63"/>
              <w:jc w:val="right"/>
            </w:pPr>
            <w:r>
              <w:t>Analyst</w:t>
            </w:r>
          </w:p>
          <w:p w:rsidR="00A75CE0" w:rsidRPr="009C5E6A" w:rsidRDefault="00A75CE0" w:rsidP="00A21CC2">
            <w:pPr>
              <w:ind w:right="63"/>
              <w:jc w:val="right"/>
            </w:pPr>
            <w:r w:rsidRPr="009C5E6A">
              <w:t>+</w:t>
            </w:r>
            <w:r w:rsidR="00D6204E">
              <w:t>971 4 4</w:t>
            </w:r>
            <w:r w:rsidRPr="009C5E6A">
              <w:t>56</w:t>
            </w:r>
            <w:r w:rsidR="00D6204E">
              <w:t xml:space="preserve"> </w:t>
            </w:r>
            <w:r w:rsidRPr="009C5E6A">
              <w:t>7890</w:t>
            </w:r>
          </w:p>
          <w:p w:rsidR="00A75CE0" w:rsidRPr="009C5E6A" w:rsidRDefault="00A75CE0" w:rsidP="00A21CC2">
            <w:pPr>
              <w:ind w:right="63"/>
              <w:jc w:val="right"/>
            </w:pPr>
            <w:r w:rsidRPr="009C5E6A">
              <w:t>contact@hc-si.com</w:t>
            </w:r>
          </w:p>
          <w:p w:rsidR="00A75CE0" w:rsidRDefault="00A75CE0" w:rsidP="00A21CC2">
            <w:pPr>
              <w:ind w:right="63"/>
              <w:jc w:val="right"/>
            </w:pPr>
          </w:p>
          <w:p w:rsidR="00CA6C2C" w:rsidRPr="008A11AD" w:rsidRDefault="00CA6C2C" w:rsidP="00A21CC2">
            <w:pPr>
              <w:ind w:right="63"/>
              <w:jc w:val="right"/>
              <w:rPr>
                <w:szCs w:val="18"/>
              </w:rPr>
            </w:pPr>
          </w:p>
          <w:p w:rsidR="00347C64" w:rsidRPr="00121BC9" w:rsidRDefault="00A75CE0" w:rsidP="00121BC9">
            <w:pPr>
              <w:pStyle w:val="iRDisclaimer"/>
            </w:pPr>
            <w:r w:rsidRPr="00121BC9">
              <w:t>Disclaimer: See page X</w:t>
            </w:r>
          </w:p>
        </w:tc>
      </w:tr>
    </w:tbl>
    <w:p w:rsidR="00700976" w:rsidRDefault="00700976" w:rsidP="00700976">
      <w:pPr>
        <w:rPr>
          <w:rFonts w:ascii="Verdana" w:hAnsi="Verdana"/>
        </w:rPr>
      </w:pPr>
    </w:p>
    <w:sectPr w:rsidR="0070097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4C7" w:rsidRDefault="008A64C7">
      <w:r>
        <w:separator/>
      </w:r>
    </w:p>
  </w:endnote>
  <w:endnote w:type="continuationSeparator" w:id="0">
    <w:p w:rsidR="008A64C7" w:rsidRDefault="008A64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4C7" w:rsidRDefault="008A64C7">
      <w:r>
        <w:separator/>
      </w:r>
    </w:p>
  </w:footnote>
  <w:footnote w:type="continuationSeparator" w:id="0">
    <w:p w:rsidR="008A64C7" w:rsidRDefault="008A64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9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10742"/>
    <w:rsid w:val="00011989"/>
    <w:rsid w:val="00014638"/>
    <w:rsid w:val="0001546B"/>
    <w:rsid w:val="000216AC"/>
    <w:rsid w:val="000259A2"/>
    <w:rsid w:val="00025B6E"/>
    <w:rsid w:val="000275E2"/>
    <w:rsid w:val="0003459E"/>
    <w:rsid w:val="000433C9"/>
    <w:rsid w:val="0005511F"/>
    <w:rsid w:val="000555EE"/>
    <w:rsid w:val="00056A90"/>
    <w:rsid w:val="0006097F"/>
    <w:rsid w:val="0006106A"/>
    <w:rsid w:val="0006357C"/>
    <w:rsid w:val="00063C4B"/>
    <w:rsid w:val="00065437"/>
    <w:rsid w:val="00070ED3"/>
    <w:rsid w:val="00071C73"/>
    <w:rsid w:val="00082BB4"/>
    <w:rsid w:val="0008427F"/>
    <w:rsid w:val="00092824"/>
    <w:rsid w:val="00095DC7"/>
    <w:rsid w:val="00095F12"/>
    <w:rsid w:val="00096A45"/>
    <w:rsid w:val="000A0FC3"/>
    <w:rsid w:val="000B6A69"/>
    <w:rsid w:val="000C4847"/>
    <w:rsid w:val="000D14E3"/>
    <w:rsid w:val="000D1A73"/>
    <w:rsid w:val="000D620E"/>
    <w:rsid w:val="000E47C1"/>
    <w:rsid w:val="000F2D4F"/>
    <w:rsid w:val="00103DEE"/>
    <w:rsid w:val="001120F5"/>
    <w:rsid w:val="001155D7"/>
    <w:rsid w:val="00121BC9"/>
    <w:rsid w:val="0012601D"/>
    <w:rsid w:val="001343D1"/>
    <w:rsid w:val="001348FD"/>
    <w:rsid w:val="001539D2"/>
    <w:rsid w:val="001613CF"/>
    <w:rsid w:val="001639F6"/>
    <w:rsid w:val="001661C1"/>
    <w:rsid w:val="00166217"/>
    <w:rsid w:val="00170BD6"/>
    <w:rsid w:val="00181483"/>
    <w:rsid w:val="00184DA5"/>
    <w:rsid w:val="0019087E"/>
    <w:rsid w:val="00196ED6"/>
    <w:rsid w:val="001B1CBE"/>
    <w:rsid w:val="001B7686"/>
    <w:rsid w:val="001B7EE1"/>
    <w:rsid w:val="001D0C45"/>
    <w:rsid w:val="001D4023"/>
    <w:rsid w:val="001D5E20"/>
    <w:rsid w:val="001E3C35"/>
    <w:rsid w:val="001F1121"/>
    <w:rsid w:val="001F2719"/>
    <w:rsid w:val="001F6D71"/>
    <w:rsid w:val="002030E0"/>
    <w:rsid w:val="00203AEC"/>
    <w:rsid w:val="00212C79"/>
    <w:rsid w:val="0022360F"/>
    <w:rsid w:val="00244722"/>
    <w:rsid w:val="00250771"/>
    <w:rsid w:val="00251D42"/>
    <w:rsid w:val="00257521"/>
    <w:rsid w:val="0026186B"/>
    <w:rsid w:val="00264203"/>
    <w:rsid w:val="002714AC"/>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4A64"/>
    <w:rsid w:val="00337EF9"/>
    <w:rsid w:val="00347C64"/>
    <w:rsid w:val="00351DEE"/>
    <w:rsid w:val="003561D4"/>
    <w:rsid w:val="003561DB"/>
    <w:rsid w:val="003574FE"/>
    <w:rsid w:val="00362F0F"/>
    <w:rsid w:val="00387195"/>
    <w:rsid w:val="00393D6C"/>
    <w:rsid w:val="0039491F"/>
    <w:rsid w:val="003A012B"/>
    <w:rsid w:val="003B1882"/>
    <w:rsid w:val="003C027E"/>
    <w:rsid w:val="003C0901"/>
    <w:rsid w:val="003C3973"/>
    <w:rsid w:val="003D18B1"/>
    <w:rsid w:val="003D4AD5"/>
    <w:rsid w:val="003E0F4C"/>
    <w:rsid w:val="003F2B3E"/>
    <w:rsid w:val="003F3A6C"/>
    <w:rsid w:val="004030C3"/>
    <w:rsid w:val="0041456D"/>
    <w:rsid w:val="00424893"/>
    <w:rsid w:val="00435027"/>
    <w:rsid w:val="004359E4"/>
    <w:rsid w:val="00437778"/>
    <w:rsid w:val="004448B6"/>
    <w:rsid w:val="00452B89"/>
    <w:rsid w:val="00455714"/>
    <w:rsid w:val="004621FB"/>
    <w:rsid w:val="00474B90"/>
    <w:rsid w:val="00475CEC"/>
    <w:rsid w:val="00481BC7"/>
    <w:rsid w:val="004A00EE"/>
    <w:rsid w:val="004A0591"/>
    <w:rsid w:val="004A5773"/>
    <w:rsid w:val="004A6561"/>
    <w:rsid w:val="004C128F"/>
    <w:rsid w:val="004C6120"/>
    <w:rsid w:val="004E3073"/>
    <w:rsid w:val="00520FD2"/>
    <w:rsid w:val="00522BBA"/>
    <w:rsid w:val="005240A8"/>
    <w:rsid w:val="00525126"/>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FA4"/>
    <w:rsid w:val="00585711"/>
    <w:rsid w:val="005A6F66"/>
    <w:rsid w:val="005B2938"/>
    <w:rsid w:val="005B2E89"/>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3D51"/>
    <w:rsid w:val="006570DE"/>
    <w:rsid w:val="0066401F"/>
    <w:rsid w:val="00672065"/>
    <w:rsid w:val="006731F3"/>
    <w:rsid w:val="0067363B"/>
    <w:rsid w:val="00674406"/>
    <w:rsid w:val="00675882"/>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0976"/>
    <w:rsid w:val="007045AD"/>
    <w:rsid w:val="007062BE"/>
    <w:rsid w:val="0071706C"/>
    <w:rsid w:val="00717F6E"/>
    <w:rsid w:val="00725671"/>
    <w:rsid w:val="0073524B"/>
    <w:rsid w:val="00740261"/>
    <w:rsid w:val="00744484"/>
    <w:rsid w:val="00753667"/>
    <w:rsid w:val="0075463E"/>
    <w:rsid w:val="00766423"/>
    <w:rsid w:val="007710A9"/>
    <w:rsid w:val="007742D2"/>
    <w:rsid w:val="00786D37"/>
    <w:rsid w:val="00790CBD"/>
    <w:rsid w:val="007957DA"/>
    <w:rsid w:val="007A18E3"/>
    <w:rsid w:val="007A3F9C"/>
    <w:rsid w:val="007B7EB9"/>
    <w:rsid w:val="007C09DF"/>
    <w:rsid w:val="007D006F"/>
    <w:rsid w:val="007D4DCA"/>
    <w:rsid w:val="007D564F"/>
    <w:rsid w:val="007E1CF6"/>
    <w:rsid w:val="007E3E4A"/>
    <w:rsid w:val="007E48F6"/>
    <w:rsid w:val="007F1403"/>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80C21"/>
    <w:rsid w:val="00890129"/>
    <w:rsid w:val="008929A6"/>
    <w:rsid w:val="008A11AD"/>
    <w:rsid w:val="008A16B8"/>
    <w:rsid w:val="008A3C16"/>
    <w:rsid w:val="008A553B"/>
    <w:rsid w:val="008A64C7"/>
    <w:rsid w:val="008B0A70"/>
    <w:rsid w:val="008B60A9"/>
    <w:rsid w:val="008C434B"/>
    <w:rsid w:val="008E0612"/>
    <w:rsid w:val="008E4DC1"/>
    <w:rsid w:val="00902AC5"/>
    <w:rsid w:val="0091258C"/>
    <w:rsid w:val="0092185F"/>
    <w:rsid w:val="009246CE"/>
    <w:rsid w:val="009247FE"/>
    <w:rsid w:val="00926691"/>
    <w:rsid w:val="00927F27"/>
    <w:rsid w:val="00927F44"/>
    <w:rsid w:val="009643BB"/>
    <w:rsid w:val="009655A6"/>
    <w:rsid w:val="0097064A"/>
    <w:rsid w:val="009726E3"/>
    <w:rsid w:val="00974D7E"/>
    <w:rsid w:val="00977634"/>
    <w:rsid w:val="00983601"/>
    <w:rsid w:val="0099534F"/>
    <w:rsid w:val="00996692"/>
    <w:rsid w:val="00997787"/>
    <w:rsid w:val="009A1AE3"/>
    <w:rsid w:val="009A3515"/>
    <w:rsid w:val="009B200B"/>
    <w:rsid w:val="009B3114"/>
    <w:rsid w:val="009C16FA"/>
    <w:rsid w:val="009C406E"/>
    <w:rsid w:val="009C5E6A"/>
    <w:rsid w:val="009D2725"/>
    <w:rsid w:val="009E2E75"/>
    <w:rsid w:val="009E703A"/>
    <w:rsid w:val="009E7C88"/>
    <w:rsid w:val="009F696B"/>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0D46"/>
    <w:rsid w:val="00A96396"/>
    <w:rsid w:val="00AA0179"/>
    <w:rsid w:val="00AA2EFE"/>
    <w:rsid w:val="00AA3236"/>
    <w:rsid w:val="00AA3CE3"/>
    <w:rsid w:val="00AB2129"/>
    <w:rsid w:val="00AD2EEF"/>
    <w:rsid w:val="00AD57BE"/>
    <w:rsid w:val="00AE26F6"/>
    <w:rsid w:val="00AE29C6"/>
    <w:rsid w:val="00AF1DAB"/>
    <w:rsid w:val="00AF6615"/>
    <w:rsid w:val="00B03682"/>
    <w:rsid w:val="00B10B31"/>
    <w:rsid w:val="00B10E87"/>
    <w:rsid w:val="00B10F31"/>
    <w:rsid w:val="00B1459A"/>
    <w:rsid w:val="00B153DC"/>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906F8"/>
    <w:rsid w:val="00CA0FD5"/>
    <w:rsid w:val="00CA113E"/>
    <w:rsid w:val="00CA2EB4"/>
    <w:rsid w:val="00CA3E44"/>
    <w:rsid w:val="00CA6C2C"/>
    <w:rsid w:val="00CB1F69"/>
    <w:rsid w:val="00CB35B1"/>
    <w:rsid w:val="00CB7B42"/>
    <w:rsid w:val="00CC40A1"/>
    <w:rsid w:val="00CC674B"/>
    <w:rsid w:val="00CD20F8"/>
    <w:rsid w:val="00CE225B"/>
    <w:rsid w:val="00CF3508"/>
    <w:rsid w:val="00CF3AC1"/>
    <w:rsid w:val="00D06AAC"/>
    <w:rsid w:val="00D11806"/>
    <w:rsid w:val="00D229CF"/>
    <w:rsid w:val="00D256C0"/>
    <w:rsid w:val="00D317DC"/>
    <w:rsid w:val="00D343E7"/>
    <w:rsid w:val="00D37CD1"/>
    <w:rsid w:val="00D54CF8"/>
    <w:rsid w:val="00D551D5"/>
    <w:rsid w:val="00D6204E"/>
    <w:rsid w:val="00D62D4C"/>
    <w:rsid w:val="00D73ABA"/>
    <w:rsid w:val="00D745EB"/>
    <w:rsid w:val="00D74B61"/>
    <w:rsid w:val="00D80062"/>
    <w:rsid w:val="00D8537B"/>
    <w:rsid w:val="00DA2600"/>
    <w:rsid w:val="00DA77E5"/>
    <w:rsid w:val="00DB03D7"/>
    <w:rsid w:val="00DB24AF"/>
    <w:rsid w:val="00DC43D4"/>
    <w:rsid w:val="00DC7E60"/>
    <w:rsid w:val="00DD6C71"/>
    <w:rsid w:val="00DE3251"/>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85B20"/>
    <w:rsid w:val="00E95FF1"/>
    <w:rsid w:val="00EA3407"/>
    <w:rsid w:val="00EA5F3C"/>
    <w:rsid w:val="00EB1166"/>
    <w:rsid w:val="00EB443A"/>
    <w:rsid w:val="00EB680D"/>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6CB0"/>
    <w:rsid w:val="00F82AB8"/>
    <w:rsid w:val="00F84686"/>
    <w:rsid w:val="00F8682C"/>
    <w:rsid w:val="00F9323D"/>
    <w:rsid w:val="00F97FF3"/>
    <w:rsid w:val="00FA3D1C"/>
    <w:rsid w:val="00FB1F19"/>
    <w:rsid w:val="00FB21B7"/>
    <w:rsid w:val="00FB3B64"/>
    <w:rsid w:val="00FC4272"/>
    <w:rsid w:val="00FC7C39"/>
    <w:rsid w:val="00FD67F9"/>
    <w:rsid w:val="00FD7B09"/>
    <w:rsid w:val="00FD7F1C"/>
    <w:rsid w:val="00FE02D5"/>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427F"/>
    <w:rPr>
      <w:rFonts w:ascii="Calibri" w:eastAsia="Calibri" w:hAnsi="Calibri" w:cs="Calibri"/>
      <w:sz w:val="22"/>
      <w:szCs w:val="22"/>
    </w:rPr>
  </w:style>
  <w:style w:type="paragraph" w:styleId="Heading1">
    <w:name w:val="heading 1"/>
    <w:basedOn w:val="Normal"/>
    <w:next w:val="Normal"/>
    <w:qFormat/>
    <w:rsid w:val="0008427F"/>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08427F"/>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08427F"/>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08427F"/>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08427F"/>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08427F"/>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08427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8427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08427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427F"/>
    <w:pPr>
      <w:tabs>
        <w:tab w:val="center" w:pos="4320"/>
        <w:tab w:val="right" w:pos="8640"/>
      </w:tabs>
    </w:pPr>
  </w:style>
  <w:style w:type="paragraph" w:styleId="Footer">
    <w:name w:val="footer"/>
    <w:basedOn w:val="Normal"/>
    <w:link w:val="FooterChar"/>
    <w:uiPriority w:val="99"/>
    <w:rsid w:val="0008427F"/>
    <w:pPr>
      <w:tabs>
        <w:tab w:val="center" w:pos="4320"/>
        <w:tab w:val="right" w:pos="8640"/>
      </w:tabs>
    </w:pPr>
  </w:style>
  <w:style w:type="table" w:styleId="TableGrid">
    <w:name w:val="Table Grid"/>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08427F"/>
    <w:pPr>
      <w:jc w:val="right"/>
    </w:pPr>
    <w:rPr>
      <w:color w:val="FFFFFF"/>
      <w:szCs w:val="18"/>
    </w:rPr>
  </w:style>
  <w:style w:type="paragraph" w:customStyle="1" w:styleId="CountrySectorNameHeader">
    <w:name w:val="Country/Sector Name (Header)"/>
    <w:basedOn w:val="Normal"/>
    <w:rsid w:val="0008427F"/>
    <w:pPr>
      <w:jc w:val="right"/>
    </w:pPr>
    <w:rPr>
      <w:color w:val="B3BDD0"/>
      <w:sz w:val="16"/>
    </w:rPr>
  </w:style>
  <w:style w:type="paragraph" w:customStyle="1" w:styleId="iRReportTypeHeader">
    <w:name w:val="iR Report Type (Header)"/>
    <w:basedOn w:val="Normal"/>
    <w:rsid w:val="0008427F"/>
    <w:rPr>
      <w:color w:val="FFFFFF"/>
      <w:szCs w:val="18"/>
    </w:rPr>
  </w:style>
  <w:style w:type="paragraph" w:customStyle="1" w:styleId="iRCompanySectorNameHeader">
    <w:name w:val="iR Company/Sector Name (Header)"/>
    <w:basedOn w:val="Normal"/>
    <w:rsid w:val="0008427F"/>
    <w:rPr>
      <w:color w:val="FFFFFF"/>
      <w:sz w:val="72"/>
      <w:szCs w:val="72"/>
    </w:rPr>
  </w:style>
  <w:style w:type="paragraph" w:customStyle="1" w:styleId="iRDepartmentHeader">
    <w:name w:val="iR Department (Header)"/>
    <w:basedOn w:val="Normal"/>
    <w:rsid w:val="0008427F"/>
    <w:rPr>
      <w:color w:val="B3BDD0"/>
      <w:sz w:val="16"/>
      <w:szCs w:val="16"/>
    </w:rPr>
  </w:style>
  <w:style w:type="paragraph" w:customStyle="1" w:styleId="iRCountrySectorPageHeader">
    <w:name w:val="iR Country/Sector Page Header"/>
    <w:basedOn w:val="Header"/>
    <w:rsid w:val="0008427F"/>
    <w:rPr>
      <w:color w:val="012464"/>
      <w:sz w:val="20"/>
      <w:szCs w:val="20"/>
    </w:rPr>
  </w:style>
  <w:style w:type="paragraph" w:customStyle="1" w:styleId="iRCompanySectorNameFooter">
    <w:name w:val="iR Company/Sector Name Footer"/>
    <w:basedOn w:val="Footer"/>
    <w:rsid w:val="0008427F"/>
    <w:pPr>
      <w:jc w:val="right"/>
    </w:pPr>
    <w:rPr>
      <w:color w:val="FFFFFF"/>
      <w:sz w:val="16"/>
      <w:szCs w:val="16"/>
    </w:rPr>
  </w:style>
  <w:style w:type="character" w:styleId="PageNumber">
    <w:name w:val="page number"/>
    <w:basedOn w:val="DefaultParagraphFont"/>
    <w:rsid w:val="0008427F"/>
  </w:style>
  <w:style w:type="numbering" w:customStyle="1" w:styleId="StyleBulletedSymbolsymbolBefore025Hanging025">
    <w:name w:val="Style Bulleted Symbol (symbol) Before:  0.25&quot; Hanging:  0.25&quot;"/>
    <w:basedOn w:val="NoList"/>
    <w:rsid w:val="0008427F"/>
    <w:pPr>
      <w:numPr>
        <w:numId w:val="6"/>
      </w:numPr>
    </w:pPr>
  </w:style>
  <w:style w:type="paragraph" w:customStyle="1" w:styleId="iRBullet">
    <w:name w:val="iR Bullet"/>
    <w:basedOn w:val="Normal"/>
    <w:rsid w:val="0008427F"/>
    <w:pPr>
      <w:numPr>
        <w:numId w:val="45"/>
      </w:numPr>
    </w:pPr>
    <w:rPr>
      <w:b/>
      <w:bCs/>
      <w:color w:val="4D6692"/>
      <w:sz w:val="20"/>
      <w:szCs w:val="20"/>
    </w:rPr>
  </w:style>
  <w:style w:type="paragraph" w:customStyle="1" w:styleId="iRTableHead">
    <w:name w:val="iR Table Head"/>
    <w:basedOn w:val="Normal"/>
    <w:rsid w:val="0008427F"/>
    <w:rPr>
      <w:color w:val="FFFFFF"/>
      <w:sz w:val="16"/>
    </w:rPr>
  </w:style>
  <w:style w:type="paragraph" w:customStyle="1" w:styleId="iRTableRow">
    <w:name w:val="iR Table Row"/>
    <w:basedOn w:val="Normal"/>
    <w:rsid w:val="0008427F"/>
    <w:rPr>
      <w:color w:val="000000"/>
      <w:sz w:val="16"/>
      <w:szCs w:val="16"/>
    </w:rPr>
  </w:style>
  <w:style w:type="paragraph" w:customStyle="1" w:styleId="iRContactCard-ContactName">
    <w:name w:val="iR Contact Card - Contact Name"/>
    <w:basedOn w:val="Normal"/>
    <w:rsid w:val="0008427F"/>
    <w:pPr>
      <w:ind w:right="63"/>
      <w:jc w:val="right"/>
    </w:pPr>
    <w:rPr>
      <w:b/>
      <w:bCs/>
    </w:rPr>
  </w:style>
  <w:style w:type="paragraph" w:customStyle="1" w:styleId="iRContactCard-ContactInfo">
    <w:name w:val="iR Contact Card - Contact Info"/>
    <w:basedOn w:val="iRContactCard-ContactName"/>
    <w:rsid w:val="0008427F"/>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08427F"/>
    <w:pPr>
      <w:spacing w:line="440" w:lineRule="exact"/>
    </w:pPr>
    <w:rPr>
      <w:sz w:val="40"/>
      <w:szCs w:val="40"/>
    </w:rPr>
  </w:style>
  <w:style w:type="paragraph" w:customStyle="1" w:styleId="iRSubSectionTitle">
    <w:name w:val="iR SubSection Title"/>
    <w:basedOn w:val="Normal"/>
    <w:next w:val="Normal"/>
    <w:rsid w:val="0008427F"/>
    <w:pPr>
      <w:spacing w:line="240" w:lineRule="exact"/>
    </w:pPr>
    <w:rPr>
      <w:b/>
      <w:bCs/>
      <w:sz w:val="28"/>
      <w:szCs w:val="28"/>
    </w:rPr>
  </w:style>
  <w:style w:type="paragraph" w:customStyle="1" w:styleId="iRChartTitle">
    <w:name w:val="iR Chart Title"/>
    <w:basedOn w:val="Normal"/>
    <w:link w:val="iRChartTitleChar"/>
    <w:rsid w:val="0008427F"/>
    <w:rPr>
      <w:color w:val="FFFFFF"/>
      <w:sz w:val="20"/>
      <w:szCs w:val="20"/>
    </w:rPr>
  </w:style>
  <w:style w:type="paragraph" w:customStyle="1" w:styleId="iRChartNoteDark">
    <w:name w:val="iR Chart Note (Dark)"/>
    <w:basedOn w:val="Normal"/>
    <w:link w:val="iRChartNoteDarkChar"/>
    <w:rsid w:val="0008427F"/>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08427F"/>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08427F"/>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08427F"/>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08427F"/>
    <w:pPr>
      <w:spacing w:line="240" w:lineRule="exact"/>
    </w:pPr>
    <w:rPr>
      <w:color w:val="FFFFFF"/>
      <w:sz w:val="20"/>
      <w:szCs w:val="20"/>
    </w:rPr>
  </w:style>
  <w:style w:type="paragraph" w:customStyle="1" w:styleId="iRContactSheet-ContactName">
    <w:name w:val="iR Contact Sheet - Contact Name"/>
    <w:basedOn w:val="Normal"/>
    <w:rsid w:val="0008427F"/>
    <w:pPr>
      <w:spacing w:line="240" w:lineRule="exact"/>
    </w:pPr>
    <w:rPr>
      <w:color w:val="012464"/>
      <w:sz w:val="16"/>
      <w:szCs w:val="16"/>
    </w:rPr>
  </w:style>
  <w:style w:type="paragraph" w:customStyle="1" w:styleId="iRContactSheet-ContactTitleDept">
    <w:name w:val="iR Contact Sheet - Contact Title/Dept"/>
    <w:basedOn w:val="Normal"/>
    <w:rsid w:val="0008427F"/>
    <w:pPr>
      <w:ind w:right="63"/>
      <w:jc w:val="right"/>
    </w:pPr>
  </w:style>
  <w:style w:type="paragraph" w:customStyle="1" w:styleId="iRContactSheet-ContactEmail">
    <w:name w:val="iR Contact Sheet - Contact Email"/>
    <w:basedOn w:val="Normal"/>
    <w:rsid w:val="0008427F"/>
    <w:pPr>
      <w:ind w:right="63"/>
      <w:jc w:val="right"/>
    </w:pPr>
  </w:style>
  <w:style w:type="paragraph" w:customStyle="1" w:styleId="iRContactSheet-ContactPhone">
    <w:name w:val="iR Contact Sheet - Contact Phone"/>
    <w:basedOn w:val="Normal"/>
    <w:rsid w:val="0008427F"/>
    <w:pPr>
      <w:ind w:right="63"/>
      <w:jc w:val="right"/>
    </w:pPr>
  </w:style>
  <w:style w:type="paragraph" w:customStyle="1" w:styleId="iRTableSectionHeader">
    <w:name w:val="iR Table Section Header"/>
    <w:basedOn w:val="iRTableRow"/>
    <w:qFormat/>
    <w:rsid w:val="0008427F"/>
    <w:rPr>
      <w:color w:val="FFFFFF"/>
    </w:rPr>
  </w:style>
  <w:style w:type="paragraph" w:customStyle="1" w:styleId="iRDisclaimer">
    <w:name w:val="iR Disclaimer"/>
    <w:basedOn w:val="Normal"/>
    <w:rsid w:val="00121BC9"/>
    <w:pPr>
      <w:spacing w:line="240" w:lineRule="exact"/>
      <w:ind w:right="63"/>
      <w:jc w:val="right"/>
    </w:pPr>
    <w:rPr>
      <w:b/>
      <w:bCs/>
    </w:rPr>
  </w:style>
  <w:style w:type="paragraph" w:styleId="BalloonText">
    <w:name w:val="Balloon Text"/>
    <w:basedOn w:val="Normal"/>
    <w:link w:val="BalloonTextChar"/>
    <w:rsid w:val="0008427F"/>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08427F"/>
    <w:pPr>
      <w:numPr>
        <w:numId w:val="14"/>
      </w:numPr>
    </w:pPr>
  </w:style>
  <w:style w:type="numbering" w:styleId="1ai">
    <w:name w:val="Outline List 1"/>
    <w:basedOn w:val="NoList"/>
    <w:rsid w:val="0008427F"/>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08427F"/>
    <w:pPr>
      <w:numPr>
        <w:numId w:val="16"/>
      </w:numPr>
    </w:pPr>
  </w:style>
  <w:style w:type="paragraph" w:styleId="Bibliography">
    <w:name w:val="Bibliography"/>
    <w:basedOn w:val="Normal"/>
    <w:next w:val="Normal"/>
    <w:uiPriority w:val="37"/>
    <w:semiHidden/>
    <w:unhideWhenUsed/>
    <w:rsid w:val="0008427F"/>
  </w:style>
  <w:style w:type="paragraph" w:styleId="BlockText">
    <w:name w:val="Block Text"/>
    <w:basedOn w:val="Normal"/>
    <w:rsid w:val="0008427F"/>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08427F"/>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08427F"/>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08427F"/>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08427F"/>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08427F"/>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08427F"/>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08427F"/>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08427F"/>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08427F"/>
    <w:rPr>
      <w:rFonts w:ascii="Tahoma" w:hAnsi="Tahoma" w:cs="Tahoma"/>
      <w:b/>
      <w:bCs/>
      <w:smallCaps/>
      <w:spacing w:val="5"/>
    </w:rPr>
  </w:style>
  <w:style w:type="paragraph" w:styleId="Caption">
    <w:name w:val="caption"/>
    <w:basedOn w:val="Normal"/>
    <w:next w:val="Normal"/>
    <w:semiHidden/>
    <w:unhideWhenUsed/>
    <w:qFormat/>
    <w:rsid w:val="0008427F"/>
    <w:pPr>
      <w:spacing w:after="200"/>
    </w:pPr>
    <w:rPr>
      <w:b/>
      <w:bCs/>
      <w:color w:val="012464" w:themeColor="accent1"/>
      <w:szCs w:val="18"/>
    </w:rPr>
  </w:style>
  <w:style w:type="paragraph" w:styleId="Closing">
    <w:name w:val="Closing"/>
    <w:basedOn w:val="Normal"/>
    <w:link w:val="ClosingChar"/>
    <w:rsid w:val="0008427F"/>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08427F"/>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08427F"/>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8427F"/>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8427F"/>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08427F"/>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8427F"/>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8427F"/>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08427F"/>
    <w:rPr>
      <w:rFonts w:ascii="Tahoma" w:hAnsi="Tahoma" w:cs="Tahoma"/>
      <w:sz w:val="16"/>
      <w:szCs w:val="16"/>
    </w:rPr>
  </w:style>
  <w:style w:type="paragraph" w:styleId="CommentText">
    <w:name w:val="annotation text"/>
    <w:basedOn w:val="Normal"/>
    <w:link w:val="CommentTextChar"/>
    <w:rsid w:val="0008427F"/>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08427F"/>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08427F"/>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08427F"/>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08427F"/>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08427F"/>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08427F"/>
    <w:rPr>
      <w:i/>
      <w:iCs/>
    </w:rPr>
  </w:style>
  <w:style w:type="character" w:styleId="EndnoteReference">
    <w:name w:val="endnote reference"/>
    <w:basedOn w:val="DefaultParagraphFont"/>
    <w:rsid w:val="0008427F"/>
    <w:rPr>
      <w:vertAlign w:val="superscript"/>
    </w:rPr>
  </w:style>
  <w:style w:type="paragraph" w:styleId="EndnoteText">
    <w:name w:val="endnote text"/>
    <w:basedOn w:val="Normal"/>
    <w:link w:val="EndnoteTextChar"/>
    <w:rsid w:val="0008427F"/>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08427F"/>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08427F"/>
    <w:rPr>
      <w:rFonts w:asciiTheme="majorHAnsi" w:eastAsiaTheme="majorEastAsia" w:hAnsiTheme="majorHAnsi" w:cstheme="majorBidi"/>
      <w:sz w:val="20"/>
      <w:szCs w:val="20"/>
    </w:rPr>
  </w:style>
  <w:style w:type="character" w:styleId="FollowedHyperlink">
    <w:name w:val="FollowedHyperlink"/>
    <w:basedOn w:val="DefaultParagraphFont"/>
    <w:rsid w:val="0008427F"/>
    <w:rPr>
      <w:color w:val="8DB3E2" w:themeColor="followedHyperlink"/>
      <w:u w:val="single"/>
    </w:rPr>
  </w:style>
  <w:style w:type="character" w:styleId="FootnoteReference">
    <w:name w:val="footnote reference"/>
    <w:basedOn w:val="DefaultParagraphFont"/>
    <w:rsid w:val="0008427F"/>
    <w:rPr>
      <w:vertAlign w:val="superscript"/>
    </w:rPr>
  </w:style>
  <w:style w:type="paragraph" w:styleId="FootnoteText">
    <w:name w:val="footnote text"/>
    <w:basedOn w:val="Normal"/>
    <w:link w:val="FootnoteTextChar"/>
    <w:rsid w:val="0008427F"/>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08427F"/>
  </w:style>
  <w:style w:type="paragraph" w:styleId="HTMLAddress">
    <w:name w:val="HTML Address"/>
    <w:basedOn w:val="Normal"/>
    <w:link w:val="HTMLAddressChar"/>
    <w:rsid w:val="0008427F"/>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08427F"/>
    <w:rPr>
      <w:i/>
      <w:iCs/>
    </w:rPr>
  </w:style>
  <w:style w:type="character" w:styleId="HTMLCode">
    <w:name w:val="HTML Code"/>
    <w:basedOn w:val="DefaultParagraphFont"/>
    <w:rsid w:val="0008427F"/>
    <w:rPr>
      <w:rFonts w:ascii="Consolas" w:hAnsi="Consolas"/>
      <w:sz w:val="20"/>
      <w:szCs w:val="20"/>
    </w:rPr>
  </w:style>
  <w:style w:type="character" w:styleId="HTMLDefinition">
    <w:name w:val="HTML Definition"/>
    <w:basedOn w:val="DefaultParagraphFont"/>
    <w:rsid w:val="0008427F"/>
    <w:rPr>
      <w:i/>
      <w:iCs/>
    </w:rPr>
  </w:style>
  <w:style w:type="character" w:styleId="HTMLKeyboard">
    <w:name w:val="HTML Keyboard"/>
    <w:basedOn w:val="DefaultParagraphFont"/>
    <w:rsid w:val="0008427F"/>
    <w:rPr>
      <w:rFonts w:ascii="Consolas" w:hAnsi="Consolas"/>
      <w:sz w:val="20"/>
      <w:szCs w:val="20"/>
    </w:rPr>
  </w:style>
  <w:style w:type="paragraph" w:styleId="HTMLPreformatted">
    <w:name w:val="HTML Preformatted"/>
    <w:basedOn w:val="Normal"/>
    <w:link w:val="HTMLPreformattedChar"/>
    <w:rsid w:val="0008427F"/>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08427F"/>
    <w:rPr>
      <w:rFonts w:ascii="Consolas" w:hAnsi="Consolas"/>
      <w:sz w:val="24"/>
      <w:szCs w:val="24"/>
    </w:rPr>
  </w:style>
  <w:style w:type="character" w:styleId="HTMLTypewriter">
    <w:name w:val="HTML Typewriter"/>
    <w:basedOn w:val="DefaultParagraphFont"/>
    <w:rsid w:val="0008427F"/>
    <w:rPr>
      <w:rFonts w:ascii="Consolas" w:hAnsi="Consolas"/>
      <w:sz w:val="20"/>
      <w:szCs w:val="20"/>
    </w:rPr>
  </w:style>
  <w:style w:type="character" w:styleId="HTMLVariable">
    <w:name w:val="HTML Variable"/>
    <w:basedOn w:val="DefaultParagraphFont"/>
    <w:rsid w:val="0008427F"/>
    <w:rPr>
      <w:i/>
      <w:iCs/>
    </w:rPr>
  </w:style>
  <w:style w:type="character" w:styleId="Hyperlink">
    <w:name w:val="Hyperlink"/>
    <w:basedOn w:val="DefaultParagraphFont"/>
    <w:rsid w:val="0008427F"/>
    <w:rPr>
      <w:color w:val="BFC8D8" w:themeColor="hyperlink"/>
      <w:u w:val="single"/>
    </w:rPr>
  </w:style>
  <w:style w:type="paragraph" w:styleId="Index1">
    <w:name w:val="index 1"/>
    <w:basedOn w:val="Normal"/>
    <w:next w:val="Normal"/>
    <w:autoRedefine/>
    <w:rsid w:val="0008427F"/>
    <w:pPr>
      <w:ind w:left="180" w:hanging="180"/>
    </w:pPr>
  </w:style>
  <w:style w:type="paragraph" w:styleId="Index2">
    <w:name w:val="index 2"/>
    <w:basedOn w:val="Normal"/>
    <w:next w:val="Normal"/>
    <w:autoRedefine/>
    <w:rsid w:val="0008427F"/>
    <w:pPr>
      <w:ind w:left="360" w:hanging="180"/>
    </w:pPr>
  </w:style>
  <w:style w:type="paragraph" w:styleId="Index3">
    <w:name w:val="index 3"/>
    <w:basedOn w:val="Normal"/>
    <w:next w:val="Normal"/>
    <w:autoRedefine/>
    <w:rsid w:val="0008427F"/>
    <w:pPr>
      <w:ind w:left="540" w:hanging="180"/>
    </w:pPr>
  </w:style>
  <w:style w:type="paragraph" w:styleId="Index4">
    <w:name w:val="index 4"/>
    <w:basedOn w:val="Normal"/>
    <w:next w:val="Normal"/>
    <w:autoRedefine/>
    <w:rsid w:val="0008427F"/>
    <w:pPr>
      <w:ind w:left="720" w:hanging="180"/>
    </w:pPr>
  </w:style>
  <w:style w:type="paragraph" w:styleId="Index5">
    <w:name w:val="index 5"/>
    <w:basedOn w:val="Normal"/>
    <w:next w:val="Normal"/>
    <w:autoRedefine/>
    <w:rsid w:val="0008427F"/>
    <w:pPr>
      <w:ind w:left="900" w:hanging="180"/>
    </w:pPr>
  </w:style>
  <w:style w:type="paragraph" w:styleId="Index6">
    <w:name w:val="index 6"/>
    <w:basedOn w:val="Normal"/>
    <w:next w:val="Normal"/>
    <w:autoRedefine/>
    <w:rsid w:val="0008427F"/>
    <w:pPr>
      <w:ind w:left="1080" w:hanging="180"/>
    </w:pPr>
  </w:style>
  <w:style w:type="paragraph" w:styleId="Index7">
    <w:name w:val="index 7"/>
    <w:basedOn w:val="Normal"/>
    <w:next w:val="Normal"/>
    <w:autoRedefine/>
    <w:rsid w:val="0008427F"/>
    <w:pPr>
      <w:ind w:left="1260" w:hanging="180"/>
    </w:pPr>
  </w:style>
  <w:style w:type="paragraph" w:styleId="Index8">
    <w:name w:val="index 8"/>
    <w:basedOn w:val="Normal"/>
    <w:next w:val="Normal"/>
    <w:autoRedefine/>
    <w:rsid w:val="0008427F"/>
    <w:pPr>
      <w:ind w:left="1440" w:hanging="180"/>
    </w:pPr>
  </w:style>
  <w:style w:type="paragraph" w:styleId="Index9">
    <w:name w:val="index 9"/>
    <w:basedOn w:val="Normal"/>
    <w:next w:val="Normal"/>
    <w:autoRedefine/>
    <w:rsid w:val="0008427F"/>
    <w:pPr>
      <w:ind w:left="1620" w:hanging="180"/>
    </w:pPr>
  </w:style>
  <w:style w:type="paragraph" w:styleId="IndexHeading">
    <w:name w:val="index heading"/>
    <w:basedOn w:val="Normal"/>
    <w:next w:val="Index1"/>
    <w:rsid w:val="0008427F"/>
    <w:rPr>
      <w:rFonts w:asciiTheme="majorHAnsi" w:eastAsiaTheme="majorEastAsia" w:hAnsiTheme="majorHAnsi" w:cstheme="majorBidi"/>
      <w:b/>
      <w:bCs/>
    </w:rPr>
  </w:style>
  <w:style w:type="character" w:styleId="IntenseEmphasis">
    <w:name w:val="Intense Emphasis"/>
    <w:basedOn w:val="DefaultParagraphFont"/>
    <w:uiPriority w:val="21"/>
    <w:qFormat/>
    <w:rsid w:val="0008427F"/>
    <w:rPr>
      <w:b/>
      <w:bCs/>
      <w:i/>
      <w:iCs/>
      <w:color w:val="012464" w:themeColor="accent1"/>
    </w:rPr>
  </w:style>
  <w:style w:type="paragraph" w:styleId="IntenseQuote">
    <w:name w:val="Intense Quote"/>
    <w:basedOn w:val="Normal"/>
    <w:next w:val="Normal"/>
    <w:link w:val="IntenseQuoteChar"/>
    <w:uiPriority w:val="30"/>
    <w:qFormat/>
    <w:rsid w:val="0008427F"/>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08427F"/>
    <w:rPr>
      <w:b/>
      <w:bCs/>
      <w:smallCaps/>
      <w:color w:val="26467C" w:themeColor="accent2"/>
      <w:spacing w:val="5"/>
      <w:u w:val="single"/>
    </w:rPr>
  </w:style>
  <w:style w:type="table" w:customStyle="1" w:styleId="LightGrid1">
    <w:name w:val="Light Grid1"/>
    <w:basedOn w:val="TableNormal"/>
    <w:uiPriority w:val="62"/>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08427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08427F"/>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08427F"/>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08427F"/>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08427F"/>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08427F"/>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08427F"/>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08427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8427F"/>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08427F"/>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08427F"/>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08427F"/>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08427F"/>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08427F"/>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08427F"/>
  </w:style>
  <w:style w:type="paragraph" w:styleId="List">
    <w:name w:val="List"/>
    <w:basedOn w:val="Normal"/>
    <w:rsid w:val="0008427F"/>
    <w:pPr>
      <w:ind w:left="283" w:hanging="283"/>
      <w:contextualSpacing/>
    </w:pPr>
  </w:style>
  <w:style w:type="paragraph" w:styleId="List2">
    <w:name w:val="List 2"/>
    <w:basedOn w:val="Normal"/>
    <w:rsid w:val="0008427F"/>
    <w:pPr>
      <w:ind w:left="566" w:hanging="283"/>
      <w:contextualSpacing/>
    </w:pPr>
  </w:style>
  <w:style w:type="paragraph" w:styleId="List3">
    <w:name w:val="List 3"/>
    <w:basedOn w:val="Normal"/>
    <w:rsid w:val="0008427F"/>
    <w:pPr>
      <w:ind w:left="849" w:hanging="283"/>
      <w:contextualSpacing/>
    </w:pPr>
  </w:style>
  <w:style w:type="paragraph" w:styleId="List4">
    <w:name w:val="List 4"/>
    <w:basedOn w:val="Normal"/>
    <w:rsid w:val="0008427F"/>
    <w:pPr>
      <w:ind w:left="1132" w:hanging="283"/>
      <w:contextualSpacing/>
    </w:pPr>
  </w:style>
  <w:style w:type="paragraph" w:styleId="List5">
    <w:name w:val="List 5"/>
    <w:basedOn w:val="Normal"/>
    <w:rsid w:val="0008427F"/>
    <w:pPr>
      <w:ind w:left="1415" w:hanging="283"/>
      <w:contextualSpacing/>
    </w:pPr>
  </w:style>
  <w:style w:type="paragraph" w:styleId="ListBullet">
    <w:name w:val="List Bullet"/>
    <w:basedOn w:val="Normal"/>
    <w:rsid w:val="0008427F"/>
    <w:pPr>
      <w:numPr>
        <w:numId w:val="35"/>
      </w:numPr>
      <w:contextualSpacing/>
    </w:pPr>
  </w:style>
  <w:style w:type="paragraph" w:styleId="ListBullet2">
    <w:name w:val="List Bullet 2"/>
    <w:basedOn w:val="Normal"/>
    <w:rsid w:val="0008427F"/>
    <w:pPr>
      <w:numPr>
        <w:numId w:val="36"/>
      </w:numPr>
      <w:contextualSpacing/>
    </w:pPr>
  </w:style>
  <w:style w:type="paragraph" w:styleId="ListBullet3">
    <w:name w:val="List Bullet 3"/>
    <w:basedOn w:val="Normal"/>
    <w:rsid w:val="0008427F"/>
    <w:pPr>
      <w:numPr>
        <w:numId w:val="37"/>
      </w:numPr>
      <w:contextualSpacing/>
    </w:pPr>
  </w:style>
  <w:style w:type="paragraph" w:styleId="ListBullet4">
    <w:name w:val="List Bullet 4"/>
    <w:basedOn w:val="Normal"/>
    <w:rsid w:val="0008427F"/>
    <w:pPr>
      <w:numPr>
        <w:numId w:val="38"/>
      </w:numPr>
      <w:contextualSpacing/>
    </w:pPr>
  </w:style>
  <w:style w:type="paragraph" w:styleId="ListBullet5">
    <w:name w:val="List Bullet 5"/>
    <w:basedOn w:val="Normal"/>
    <w:rsid w:val="0008427F"/>
    <w:pPr>
      <w:numPr>
        <w:numId w:val="39"/>
      </w:numPr>
      <w:contextualSpacing/>
    </w:pPr>
  </w:style>
  <w:style w:type="paragraph" w:styleId="ListContinue">
    <w:name w:val="List Continue"/>
    <w:basedOn w:val="Normal"/>
    <w:rsid w:val="0008427F"/>
    <w:pPr>
      <w:spacing w:after="120"/>
      <w:ind w:left="283"/>
      <w:contextualSpacing/>
    </w:pPr>
  </w:style>
  <w:style w:type="paragraph" w:styleId="ListContinue2">
    <w:name w:val="List Continue 2"/>
    <w:basedOn w:val="Normal"/>
    <w:rsid w:val="0008427F"/>
    <w:pPr>
      <w:spacing w:after="120"/>
      <w:ind w:left="566"/>
      <w:contextualSpacing/>
    </w:pPr>
  </w:style>
  <w:style w:type="paragraph" w:styleId="ListContinue3">
    <w:name w:val="List Continue 3"/>
    <w:basedOn w:val="Normal"/>
    <w:rsid w:val="0008427F"/>
    <w:pPr>
      <w:spacing w:after="120"/>
      <w:ind w:left="849"/>
      <w:contextualSpacing/>
    </w:pPr>
  </w:style>
  <w:style w:type="paragraph" w:styleId="ListContinue4">
    <w:name w:val="List Continue 4"/>
    <w:basedOn w:val="Normal"/>
    <w:rsid w:val="0008427F"/>
    <w:pPr>
      <w:spacing w:after="120"/>
      <w:ind w:left="1132"/>
      <w:contextualSpacing/>
    </w:pPr>
  </w:style>
  <w:style w:type="paragraph" w:styleId="ListContinue5">
    <w:name w:val="List Continue 5"/>
    <w:basedOn w:val="Normal"/>
    <w:rsid w:val="0008427F"/>
    <w:pPr>
      <w:spacing w:after="120"/>
      <w:ind w:left="1415"/>
      <w:contextualSpacing/>
    </w:pPr>
  </w:style>
  <w:style w:type="paragraph" w:styleId="ListNumber">
    <w:name w:val="List Number"/>
    <w:basedOn w:val="Normal"/>
    <w:rsid w:val="0008427F"/>
    <w:pPr>
      <w:numPr>
        <w:numId w:val="40"/>
      </w:numPr>
      <w:contextualSpacing/>
    </w:pPr>
  </w:style>
  <w:style w:type="paragraph" w:styleId="ListNumber2">
    <w:name w:val="List Number 2"/>
    <w:basedOn w:val="Normal"/>
    <w:rsid w:val="0008427F"/>
    <w:pPr>
      <w:numPr>
        <w:numId w:val="41"/>
      </w:numPr>
      <w:contextualSpacing/>
    </w:pPr>
  </w:style>
  <w:style w:type="paragraph" w:styleId="ListNumber3">
    <w:name w:val="List Number 3"/>
    <w:basedOn w:val="Normal"/>
    <w:rsid w:val="0008427F"/>
    <w:pPr>
      <w:numPr>
        <w:numId w:val="42"/>
      </w:numPr>
      <w:contextualSpacing/>
    </w:pPr>
  </w:style>
  <w:style w:type="paragraph" w:styleId="ListNumber4">
    <w:name w:val="List Number 4"/>
    <w:basedOn w:val="Normal"/>
    <w:rsid w:val="0008427F"/>
    <w:pPr>
      <w:numPr>
        <w:numId w:val="43"/>
      </w:numPr>
      <w:contextualSpacing/>
    </w:pPr>
  </w:style>
  <w:style w:type="paragraph" w:styleId="ListNumber5">
    <w:name w:val="List Number 5"/>
    <w:basedOn w:val="Normal"/>
    <w:rsid w:val="0008427F"/>
    <w:pPr>
      <w:numPr>
        <w:numId w:val="44"/>
      </w:numPr>
      <w:contextualSpacing/>
    </w:pPr>
  </w:style>
  <w:style w:type="paragraph" w:styleId="ListParagraph">
    <w:name w:val="List Paragraph"/>
    <w:basedOn w:val="Normal"/>
    <w:uiPriority w:val="34"/>
    <w:qFormat/>
    <w:rsid w:val="0008427F"/>
    <w:pPr>
      <w:ind w:left="720"/>
      <w:contextualSpacing/>
    </w:pPr>
  </w:style>
  <w:style w:type="paragraph" w:styleId="MacroText">
    <w:name w:val="macro"/>
    <w:link w:val="MacroTextChar"/>
    <w:rsid w:val="0008427F"/>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08427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08427F"/>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08427F"/>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08427F"/>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08427F"/>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08427F"/>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08427F"/>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08427F"/>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8427F"/>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08427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08427F"/>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8427F"/>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8427F"/>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8427F"/>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8427F"/>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8427F"/>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8427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08427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08427F"/>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08427F"/>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08427F"/>
    <w:rPr>
      <w:color w:val="808080"/>
    </w:rPr>
  </w:style>
  <w:style w:type="paragraph" w:styleId="PlainText">
    <w:name w:val="Plain Text"/>
    <w:basedOn w:val="Normal"/>
    <w:link w:val="PlainTextChar"/>
    <w:rsid w:val="0008427F"/>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08427F"/>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08427F"/>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08427F"/>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08427F"/>
    <w:rPr>
      <w:b/>
      <w:bCs/>
    </w:rPr>
  </w:style>
  <w:style w:type="paragraph" w:styleId="Subtitle">
    <w:name w:val="Subtitle"/>
    <w:basedOn w:val="Normal"/>
    <w:next w:val="Normal"/>
    <w:link w:val="SubtitleChar"/>
    <w:qFormat/>
    <w:rsid w:val="0008427F"/>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08427F"/>
    <w:rPr>
      <w:i/>
      <w:iCs/>
      <w:color w:val="808080" w:themeColor="text1" w:themeTint="7F"/>
    </w:rPr>
  </w:style>
  <w:style w:type="character" w:styleId="SubtleReference">
    <w:name w:val="Subtle Reference"/>
    <w:basedOn w:val="DefaultParagraphFont"/>
    <w:uiPriority w:val="31"/>
    <w:qFormat/>
    <w:rsid w:val="0008427F"/>
    <w:rPr>
      <w:smallCaps/>
      <w:color w:val="26467C" w:themeColor="accent2"/>
      <w:u w:val="single"/>
    </w:rPr>
  </w:style>
  <w:style w:type="table" w:styleId="Table3Deffects1">
    <w:name w:val="Table 3D effects 1"/>
    <w:basedOn w:val="TableNormal"/>
    <w:rsid w:val="0008427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8427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8427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8427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8427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427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8427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8427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8427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8427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8427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8427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8427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8427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8427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8427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8427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8427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8427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8427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8427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8427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8427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8427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8427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8427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8427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8427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08427F"/>
    <w:pPr>
      <w:ind w:left="180" w:hanging="180"/>
    </w:pPr>
  </w:style>
  <w:style w:type="paragraph" w:styleId="TableofFigures">
    <w:name w:val="table of figures"/>
    <w:basedOn w:val="Normal"/>
    <w:next w:val="Normal"/>
    <w:rsid w:val="0008427F"/>
  </w:style>
  <w:style w:type="table" w:styleId="TableProfessional">
    <w:name w:val="Table Professional"/>
    <w:basedOn w:val="TableNormal"/>
    <w:rsid w:val="0008427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8427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8427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8427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8427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8427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84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8427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8427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8427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08427F"/>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08427F"/>
    <w:pPr>
      <w:spacing w:before="120"/>
    </w:pPr>
    <w:rPr>
      <w:rFonts w:asciiTheme="majorHAnsi" w:eastAsiaTheme="majorEastAsia" w:hAnsiTheme="majorHAnsi" w:cstheme="majorBidi"/>
      <w:b/>
      <w:bCs/>
      <w:sz w:val="24"/>
    </w:rPr>
  </w:style>
  <w:style w:type="paragraph" w:styleId="TOC1">
    <w:name w:val="toc 1"/>
    <w:basedOn w:val="Normal"/>
    <w:next w:val="Normal"/>
    <w:autoRedefine/>
    <w:rsid w:val="0008427F"/>
    <w:pPr>
      <w:spacing w:after="100"/>
    </w:pPr>
  </w:style>
  <w:style w:type="paragraph" w:styleId="TOC2">
    <w:name w:val="toc 2"/>
    <w:basedOn w:val="Normal"/>
    <w:next w:val="Normal"/>
    <w:autoRedefine/>
    <w:rsid w:val="0008427F"/>
    <w:pPr>
      <w:spacing w:after="100"/>
      <w:ind w:left="180"/>
    </w:pPr>
  </w:style>
  <w:style w:type="paragraph" w:styleId="TOC3">
    <w:name w:val="toc 3"/>
    <w:basedOn w:val="Normal"/>
    <w:next w:val="Normal"/>
    <w:autoRedefine/>
    <w:rsid w:val="0008427F"/>
    <w:pPr>
      <w:spacing w:after="100"/>
      <w:ind w:left="360"/>
    </w:pPr>
  </w:style>
  <w:style w:type="paragraph" w:styleId="TOC4">
    <w:name w:val="toc 4"/>
    <w:basedOn w:val="Normal"/>
    <w:next w:val="Normal"/>
    <w:autoRedefine/>
    <w:rsid w:val="0008427F"/>
    <w:pPr>
      <w:spacing w:after="100"/>
      <w:ind w:left="540"/>
    </w:pPr>
  </w:style>
  <w:style w:type="paragraph" w:styleId="TOC5">
    <w:name w:val="toc 5"/>
    <w:basedOn w:val="Normal"/>
    <w:next w:val="Normal"/>
    <w:autoRedefine/>
    <w:rsid w:val="0008427F"/>
    <w:pPr>
      <w:spacing w:after="100"/>
      <w:ind w:left="720"/>
    </w:pPr>
  </w:style>
  <w:style w:type="paragraph" w:styleId="TOC6">
    <w:name w:val="toc 6"/>
    <w:basedOn w:val="Normal"/>
    <w:next w:val="Normal"/>
    <w:autoRedefine/>
    <w:rsid w:val="0008427F"/>
    <w:pPr>
      <w:spacing w:after="100"/>
      <w:ind w:left="900"/>
    </w:pPr>
  </w:style>
  <w:style w:type="paragraph" w:styleId="TOC7">
    <w:name w:val="toc 7"/>
    <w:basedOn w:val="Normal"/>
    <w:next w:val="Normal"/>
    <w:autoRedefine/>
    <w:rsid w:val="0008427F"/>
    <w:pPr>
      <w:spacing w:after="100"/>
      <w:ind w:left="1080"/>
    </w:pPr>
  </w:style>
  <w:style w:type="paragraph" w:styleId="TOC8">
    <w:name w:val="toc 8"/>
    <w:basedOn w:val="Normal"/>
    <w:next w:val="Normal"/>
    <w:autoRedefine/>
    <w:rsid w:val="0008427F"/>
    <w:pPr>
      <w:spacing w:after="100"/>
      <w:ind w:left="1260"/>
    </w:pPr>
  </w:style>
  <w:style w:type="paragraph" w:styleId="TOC9">
    <w:name w:val="toc 9"/>
    <w:basedOn w:val="Normal"/>
    <w:next w:val="Normal"/>
    <w:autoRedefine/>
    <w:rsid w:val="0008427F"/>
    <w:pPr>
      <w:spacing w:after="100"/>
      <w:ind w:left="1440"/>
    </w:pPr>
  </w:style>
  <w:style w:type="paragraph" w:styleId="TOCHeading">
    <w:name w:val="TOC Heading"/>
    <w:basedOn w:val="Heading1"/>
    <w:next w:val="Normal"/>
    <w:uiPriority w:val="39"/>
    <w:semiHidden/>
    <w:unhideWhenUsed/>
    <w:qFormat/>
    <w:rsid w:val="0008427F"/>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08427F"/>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654"/>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1.9500000000000088</c:v>
                </c:pt>
                <c:pt idx="137">
                  <c:v>1.9500000000000088</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1.6900000000000088</c:v>
                </c:pt>
                <c:pt idx="119">
                  <c:v>1.78</c:v>
                </c:pt>
                <c:pt idx="120">
                  <c:v>1.79</c:v>
                </c:pt>
                <c:pt idx="121">
                  <c:v>1.74</c:v>
                </c:pt>
                <c:pt idx="122">
                  <c:v>1.84</c:v>
                </c:pt>
                <c:pt idx="123">
                  <c:v>1.9000000000000001</c:v>
                </c:pt>
                <c:pt idx="124">
                  <c:v>1.9500000000000088</c:v>
                </c:pt>
                <c:pt idx="125">
                  <c:v>1.9700000000000089</c:v>
                </c:pt>
                <c:pt idx="126">
                  <c:v>1.9400000000000088</c:v>
                </c:pt>
                <c:pt idx="127">
                  <c:v>1.9400000000000088</c:v>
                </c:pt>
                <c:pt idx="128">
                  <c:v>1.9900000000000098</c:v>
                </c:pt>
                <c:pt idx="129">
                  <c:v>1.9800000000000098</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1.6900000000000088</c:v>
                </c:pt>
                <c:pt idx="153">
                  <c:v>1.6900000000000088</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1.9300000000000088</c:v>
                </c:pt>
                <c:pt idx="247">
                  <c:v>1.9900000000000098</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85992960"/>
        <c:axId val="85994496"/>
      </c:lineChart>
      <c:dateAx>
        <c:axId val="8599296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85994496"/>
        <c:crossesAt val="0.30000000000000032"/>
        <c:auto val="1"/>
        <c:lblOffset val="100"/>
        <c:baseTimeUnit val="days"/>
        <c:majorUnit val="1"/>
        <c:majorTimeUnit val="months"/>
        <c:minorUnit val="1"/>
        <c:minorTimeUnit val="days"/>
      </c:dateAx>
      <c:valAx>
        <c:axId val="8599449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85992960"/>
        <c:crosses val="autoZero"/>
        <c:crossBetween val="between"/>
        <c:majorUnit val="1"/>
        <c:minorUnit val="1"/>
      </c:valAx>
      <c:spPr>
        <a:noFill/>
        <a:ln w="25375">
          <a:noFill/>
        </a:ln>
      </c:spPr>
    </c:plotArea>
    <c:legend>
      <c:legendPos val="b"/>
      <c:layout>
        <c:manualLayout>
          <c:xMode val="edge"/>
          <c:yMode val="edge"/>
          <c:x val="0.17352688455842649"/>
          <c:y val="0.84224128233971418"/>
          <c:w val="0.667843810026550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12CBF-4FDE-4E2A-A8BD-5A416A19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0</TotalTime>
  <Pages>1</Pages>
  <Words>383</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cp:revision>
  <cp:lastPrinted>2010-08-26T10:57:00Z</cp:lastPrinted>
  <dcterms:created xsi:type="dcterms:W3CDTF">2010-09-27T12:38:00Z</dcterms:created>
  <dcterms:modified xsi:type="dcterms:W3CDTF">2010-09-27T12:38:00Z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