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E92DC2">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92DC2" w:rsidRPr="006558BE" w:rsidRDefault="00E92DC2" w:rsidP="00E92DC2">
            <w:r w:rsidRPr="006558BE">
              <w:rPr>
                <w:b/>
                <w:bCs/>
              </w:rPr>
              <w:t xml:space="preserve">Some normal text, some normal text, some normal text, some normal text, some normal text, some normal text. </w:t>
            </w:r>
            <w:r w:rsidRPr="006558BE">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E92DC2" w:rsidRPr="006558BE" w:rsidRDefault="00E92DC2" w:rsidP="00E92DC2"/>
          <w:p w:rsidR="00E75920" w:rsidRPr="002527DB" w:rsidRDefault="00E92DC2" w:rsidP="002527DB">
            <w:r w:rsidRPr="006558BE">
              <w:rPr>
                <w:b/>
                <w:bCs/>
              </w:rPr>
              <w:t xml:space="preserve">Some normal text, some normal text, some normal text, some normal text, some normal text, some normal text. </w:t>
            </w:r>
            <w:r w:rsidRPr="006558BE">
              <w:t>Some normal text, some normal text, some normal text, some normal text, some normal text, some normal text, some normal text, some normal text, some normal text, some</w:t>
            </w:r>
          </w:p>
        </w:tc>
        <w:tc>
          <w:tcPr>
            <w:tcW w:w="272" w:type="dxa"/>
          </w:tcPr>
          <w:p w:rsidR="00347C64" w:rsidRPr="00AA3236" w:rsidRDefault="00347C64">
            <w:pPr>
              <w:rPr>
                <w:rFonts w:ascii="Verdana" w:hAnsi="Verdana"/>
              </w:rPr>
            </w:pPr>
          </w:p>
        </w:tc>
        <w:tc>
          <w:tcPr>
            <w:tcW w:w="3058"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MCap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bl>
          <w:p w:rsidR="00070ED3" w:rsidRDefault="00070ED3" w:rsidP="00A21CC2">
            <w:pPr>
              <w:ind w:right="63"/>
              <w:jc w:val="right"/>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bl>
          <w:p w:rsidR="00E92DC2" w:rsidRDefault="00E92DC2" w:rsidP="00A21CC2">
            <w:pPr>
              <w:ind w:right="63"/>
              <w:jc w:val="right"/>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049"/>
              <w:gridCol w:w="793"/>
            </w:tblGrid>
            <w:tr w:rsidR="00E92DC2" w:rsidRPr="009D581B" w:rsidTr="00CD3C86">
              <w:trPr>
                <w:trHeight w:val="288"/>
              </w:trPr>
              <w:tc>
                <w:tcPr>
                  <w:tcW w:w="360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rPr>
                      <w:b/>
                      <w:bCs/>
                      <w:sz w:val="21"/>
                      <w:szCs w:val="21"/>
                    </w:rPr>
                  </w:pPr>
                  <w:r w:rsidRPr="001B367A">
                    <w:rPr>
                      <w:b/>
                      <w:bCs/>
                      <w:sz w:val="21"/>
                      <w:szCs w:val="21"/>
                    </w:rPr>
                    <w:t>Company</w:t>
                  </w:r>
                </w:p>
              </w:tc>
              <w:tc>
                <w:tcPr>
                  <w:tcW w:w="1395" w:type="pct"/>
                  <w:tcBorders>
                    <w:top w:val="single" w:sz="4" w:space="0" w:color="396295" w:themeColor="accent6" w:themeShade="80"/>
                    <w:bottom w:val="single" w:sz="4" w:space="0" w:color="396295" w:themeColor="accent6" w:themeShade="80"/>
                  </w:tcBorders>
                  <w:vAlign w:val="center"/>
                </w:tcPr>
                <w:p w:rsidR="00E92DC2" w:rsidRPr="001B367A" w:rsidRDefault="00E92DC2" w:rsidP="002115A6">
                  <w:pPr>
                    <w:spacing w:before="40" w:after="40" w:line="240" w:lineRule="exact"/>
                    <w:jc w:val="right"/>
                    <w:rPr>
                      <w:b/>
                      <w:bCs/>
                      <w:sz w:val="21"/>
                      <w:szCs w:val="21"/>
                    </w:rPr>
                  </w:pPr>
                  <w:r w:rsidRPr="001B367A">
                    <w:rPr>
                      <w:b/>
                      <w:bCs/>
                      <w:sz w:val="21"/>
                      <w:szCs w:val="21"/>
                    </w:rPr>
                    <w:t>Hold</w:t>
                  </w:r>
                </w:p>
              </w:tc>
            </w:tr>
            <w:tr w:rsidR="00E92DC2" w:rsidRPr="009D581B" w:rsidTr="00CD3C86">
              <w:tc>
                <w:tcPr>
                  <w:tcW w:w="3605" w:type="pct"/>
                  <w:tcBorders>
                    <w:top w:val="single" w:sz="4" w:space="0" w:color="396295" w:themeColor="accent6" w:themeShade="80"/>
                  </w:tcBorders>
                  <w:vAlign w:val="center"/>
                </w:tcPr>
                <w:p w:rsidR="00E92DC2" w:rsidRPr="001B367A" w:rsidRDefault="00E92DC2" w:rsidP="002115A6">
                  <w:pPr>
                    <w:spacing w:before="40" w:line="240" w:lineRule="exact"/>
                    <w:rPr>
                      <w:sz w:val="21"/>
                      <w:szCs w:val="21"/>
                    </w:rPr>
                  </w:pPr>
                  <w:r w:rsidRPr="001B367A">
                    <w:rPr>
                      <w:sz w:val="21"/>
                      <w:szCs w:val="21"/>
                    </w:rPr>
                    <w:t>Target Price (EGP)</w:t>
                  </w:r>
                </w:p>
              </w:tc>
              <w:tc>
                <w:tcPr>
                  <w:tcW w:w="1395" w:type="pct"/>
                  <w:tcBorders>
                    <w:top w:val="single" w:sz="4" w:space="0" w:color="396295" w:themeColor="accent6" w:themeShade="80"/>
                  </w:tcBorders>
                  <w:vAlign w:val="center"/>
                </w:tcPr>
                <w:p w:rsidR="00E92DC2" w:rsidRPr="001B367A" w:rsidRDefault="00E92DC2" w:rsidP="00CD3C86">
                  <w:pPr>
                    <w:spacing w:before="40" w:line="240" w:lineRule="exact"/>
                    <w:jc w:val="right"/>
                    <w:rPr>
                      <w:sz w:val="21"/>
                      <w:szCs w:val="21"/>
                    </w:rPr>
                  </w:pPr>
                  <w:r w:rsidRPr="001B367A">
                    <w:rPr>
                      <w:sz w:val="21"/>
                      <w:szCs w:val="21"/>
                    </w:rPr>
                    <w:t>15.50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Current Price (EGP)</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11.70</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Potential Return</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18%</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Bloomberg</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keepNext/>
                    <w:keepLines/>
                    <w:outlineLvl w:val="5"/>
                    <w:rPr>
                      <w:sz w:val="21"/>
                      <w:szCs w:val="21"/>
                    </w:rPr>
                  </w:pPr>
                  <w:r w:rsidRPr="001B367A">
                    <w:rPr>
                      <w:sz w:val="21"/>
                      <w:szCs w:val="21"/>
                    </w:rPr>
                    <w:t>Reuters</w:t>
                  </w:r>
                </w:p>
              </w:tc>
              <w:tc>
                <w:tcPr>
                  <w:tcW w:w="1395" w:type="pct"/>
                  <w:vAlign w:val="center"/>
                </w:tcPr>
                <w:p w:rsidR="00E92DC2" w:rsidRPr="001B367A" w:rsidRDefault="00E92DC2" w:rsidP="00CD3C86">
                  <w:pPr>
                    <w:keepNext/>
                    <w:keepLines/>
                    <w:jc w:val="right"/>
                    <w:outlineLvl w:val="5"/>
                    <w:rPr>
                      <w:sz w:val="21"/>
                      <w:szCs w:val="21"/>
                    </w:rPr>
                  </w:pPr>
                  <w:r w:rsidRPr="001B367A">
                    <w:rPr>
                      <w:sz w:val="21"/>
                      <w:szCs w:val="21"/>
                    </w:rPr>
                    <w:t>XX</w:t>
                  </w:r>
                </w:p>
              </w:tc>
            </w:tr>
            <w:tr w:rsidR="00E92DC2" w:rsidRPr="009D581B" w:rsidTr="00CD3C86">
              <w:tc>
                <w:tcPr>
                  <w:tcW w:w="3605" w:type="pct"/>
                  <w:vAlign w:val="center"/>
                </w:tcPr>
                <w:p w:rsidR="00E92DC2" w:rsidRPr="001B367A" w:rsidRDefault="00E92DC2" w:rsidP="002115A6">
                  <w:pPr>
                    <w:spacing w:line="240" w:lineRule="exact"/>
                    <w:rPr>
                      <w:sz w:val="21"/>
                      <w:szCs w:val="21"/>
                    </w:rPr>
                  </w:pPr>
                  <w:r w:rsidRPr="001B367A">
                    <w:rPr>
                      <w:sz w:val="21"/>
                      <w:szCs w:val="21"/>
                    </w:rPr>
                    <w:t>MCap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500</w:t>
                  </w:r>
                </w:p>
              </w:tc>
            </w:tr>
            <w:tr w:rsidR="00E92DC2" w:rsidRPr="009D581B" w:rsidTr="00CD3C86">
              <w:tc>
                <w:tcPr>
                  <w:tcW w:w="3605" w:type="pct"/>
                  <w:vAlign w:val="center"/>
                </w:tcPr>
                <w:p w:rsidR="00E92DC2" w:rsidRPr="001B367A" w:rsidRDefault="00E92DC2" w:rsidP="002115A6">
                  <w:pPr>
                    <w:spacing w:line="240" w:lineRule="exact"/>
                    <w:ind w:right="-17"/>
                    <w:rPr>
                      <w:sz w:val="21"/>
                      <w:szCs w:val="21"/>
                    </w:rPr>
                  </w:pPr>
                  <w:r w:rsidRPr="001B367A">
                    <w:rPr>
                      <w:sz w:val="21"/>
                      <w:szCs w:val="21"/>
                    </w:rPr>
                    <w:t>Daily Volume (USDm)</w:t>
                  </w:r>
                </w:p>
              </w:tc>
              <w:tc>
                <w:tcPr>
                  <w:tcW w:w="1395" w:type="pct"/>
                  <w:vAlign w:val="center"/>
                </w:tcPr>
                <w:p w:rsidR="00E92DC2" w:rsidRPr="001B367A" w:rsidRDefault="00E92DC2" w:rsidP="00CD3C86">
                  <w:pPr>
                    <w:spacing w:line="240" w:lineRule="exact"/>
                    <w:jc w:val="right"/>
                    <w:rPr>
                      <w:sz w:val="21"/>
                      <w:szCs w:val="21"/>
                    </w:rPr>
                  </w:pPr>
                  <w:r w:rsidRPr="001B367A">
                    <w:rPr>
                      <w:sz w:val="21"/>
                      <w:szCs w:val="21"/>
                    </w:rPr>
                    <w:t>28</w:t>
                  </w:r>
                </w:p>
              </w:tc>
            </w:tr>
            <w:tr w:rsidR="00CD3C86" w:rsidRPr="009D581B" w:rsidTr="00CD3C86">
              <w:tc>
                <w:tcPr>
                  <w:tcW w:w="3605" w:type="pct"/>
                  <w:vAlign w:val="center"/>
                </w:tcPr>
                <w:p w:rsidR="00CD3C86" w:rsidRPr="007710A9" w:rsidRDefault="00CD3C86" w:rsidP="002115A6">
                  <w:pPr>
                    <w:spacing w:before="40" w:line="240" w:lineRule="exact"/>
                    <w:ind w:right="-46"/>
                    <w:rPr>
                      <w:sz w:val="16"/>
                      <w:szCs w:val="16"/>
                    </w:rPr>
                  </w:pPr>
                  <w:r w:rsidRPr="007710A9">
                    <w:rPr>
                      <w:sz w:val="16"/>
                      <w:szCs w:val="16"/>
                    </w:rPr>
                    <w:t>Note: All prices as of XX</w:t>
                  </w:r>
                </w:p>
              </w:tc>
              <w:tc>
                <w:tcPr>
                  <w:tcW w:w="1395" w:type="pct"/>
                  <w:vAlign w:val="center"/>
                </w:tcPr>
                <w:p w:rsidR="00CD3C86" w:rsidRPr="007710A9" w:rsidRDefault="00CD3C86" w:rsidP="002115A6">
                  <w:pPr>
                    <w:spacing w:before="40" w:line="240" w:lineRule="exact"/>
                    <w:ind w:right="-46"/>
                    <w:rPr>
                      <w:sz w:val="16"/>
                      <w:szCs w:val="16"/>
                    </w:rPr>
                  </w:pPr>
                </w:p>
              </w:tc>
            </w:tr>
          </w:tbl>
          <w:p w:rsidR="00CD3C86" w:rsidRPr="00CD3C86" w:rsidRDefault="00CD3C86" w:rsidP="00CD3C86">
            <w:pPr>
              <w:spacing w:before="40"/>
              <w:rPr>
                <w:szCs w:val="18"/>
              </w:rPr>
            </w:pPr>
          </w:p>
          <w:p w:rsidR="00810BAF" w:rsidRPr="009A734F" w:rsidRDefault="00882E91" w:rsidP="00A21CC2">
            <w:pPr>
              <w:ind w:right="63"/>
              <w:jc w:val="right"/>
              <w:rPr>
                <w:b/>
                <w:bCs/>
                <w:sz w:val="24"/>
              </w:rPr>
            </w:pPr>
            <w:fldSimple w:instr=" DOCPROPERTY  iR_Report_Date  \* MERGEFORMAT ">
              <w:r w:rsidR="009A734F" w:rsidRPr="009A734F">
                <w:rPr>
                  <w:b/>
                  <w:bCs/>
                  <w:sz w:val="24"/>
                </w:rPr>
                <w:t xml:space="preserve"> #Report Date Here#</w:t>
              </w:r>
            </w:fldSimple>
          </w:p>
          <w:p w:rsidR="000D1A73" w:rsidRPr="00E92DC2" w:rsidRDefault="000D1A73" w:rsidP="00A21CC2">
            <w:pPr>
              <w:ind w:right="63"/>
              <w:jc w:val="right"/>
              <w:rPr>
                <w:szCs w:val="18"/>
              </w:rPr>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Default="00A96396" w:rsidP="00A21CC2">
            <w:pPr>
              <w:ind w:right="63"/>
              <w:jc w:val="right"/>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E92DC2" w:rsidRDefault="00A75CE0" w:rsidP="00A21CC2">
            <w:pPr>
              <w:ind w:right="63"/>
              <w:jc w:val="right"/>
              <w:rPr>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Default="00A75CE0" w:rsidP="00A21CC2">
            <w:pPr>
              <w:ind w:right="63"/>
              <w:jc w:val="right"/>
            </w:pPr>
          </w:p>
          <w:p w:rsidR="00CA6C2C" w:rsidRPr="008A11AD" w:rsidRDefault="00CA6C2C" w:rsidP="00A21CC2">
            <w:pPr>
              <w:ind w:right="63"/>
              <w:jc w:val="right"/>
              <w:rPr>
                <w:szCs w:val="18"/>
              </w:rPr>
            </w:pPr>
          </w:p>
          <w:p w:rsidR="00347C64" w:rsidRPr="0006097F" w:rsidRDefault="00A75CE0" w:rsidP="00A21CC2">
            <w:pPr>
              <w:pStyle w:val="iRDisclaimerRef"/>
              <w:ind w:right="63"/>
              <w:jc w:val="right"/>
              <w:rPr>
                <w:rFonts w:ascii="Verdana" w:hAnsi="Verdana"/>
                <w:b/>
                <w:bCs/>
                <w:color w:val="auto"/>
                <w:sz w:val="16"/>
                <w:szCs w:val="16"/>
              </w:rPr>
            </w:pPr>
            <w:r w:rsidRPr="0006097F">
              <w:rPr>
                <w:b/>
                <w:bCs/>
                <w:color w:val="auto"/>
                <w:sz w:val="16"/>
                <w:szCs w:val="16"/>
              </w:rPr>
              <w:t>Disclaimer: See page X</w:t>
            </w:r>
          </w:p>
        </w:tc>
      </w:tr>
    </w:tbl>
    <w:p w:rsidR="00075CBF" w:rsidRDefault="00075CBF" w:rsidP="00075CBF">
      <w:pPr>
        <w:rPr>
          <w:rFonts w:ascii="Verdana" w:hAnsi="Verdana"/>
        </w:rPr>
      </w:pPr>
    </w:p>
    <w:sectPr w:rsidR="00075CB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630" w:rsidRDefault="00203630">
      <w:r>
        <w:separator/>
      </w:r>
    </w:p>
  </w:endnote>
  <w:endnote w:type="continuationSeparator" w:id="0">
    <w:p w:rsidR="00203630" w:rsidRDefault="002036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630" w:rsidRDefault="00203630">
      <w:r>
        <w:separator/>
      </w:r>
    </w:p>
  </w:footnote>
  <w:footnote w:type="continuationSeparator" w:id="0">
    <w:p w:rsidR="00203630" w:rsidRDefault="002036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16386"/>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75CBF"/>
    <w:rsid w:val="00082BB4"/>
    <w:rsid w:val="00092824"/>
    <w:rsid w:val="00095F12"/>
    <w:rsid w:val="00096A45"/>
    <w:rsid w:val="000A0FC3"/>
    <w:rsid w:val="000B6A69"/>
    <w:rsid w:val="000C4847"/>
    <w:rsid w:val="000D14E3"/>
    <w:rsid w:val="000D1A73"/>
    <w:rsid w:val="000D620E"/>
    <w:rsid w:val="000F2D4F"/>
    <w:rsid w:val="00103DEE"/>
    <w:rsid w:val="00110060"/>
    <w:rsid w:val="001120F5"/>
    <w:rsid w:val="001155D7"/>
    <w:rsid w:val="0012601D"/>
    <w:rsid w:val="001343D1"/>
    <w:rsid w:val="001348FD"/>
    <w:rsid w:val="001539D2"/>
    <w:rsid w:val="001613CF"/>
    <w:rsid w:val="001639F6"/>
    <w:rsid w:val="001661C1"/>
    <w:rsid w:val="00166217"/>
    <w:rsid w:val="00170BD6"/>
    <w:rsid w:val="00175A84"/>
    <w:rsid w:val="00181483"/>
    <w:rsid w:val="00184DA5"/>
    <w:rsid w:val="0019087E"/>
    <w:rsid w:val="00196ED6"/>
    <w:rsid w:val="001B1CBE"/>
    <w:rsid w:val="001B367A"/>
    <w:rsid w:val="001B7686"/>
    <w:rsid w:val="001B7EE1"/>
    <w:rsid w:val="001D5E20"/>
    <w:rsid w:val="001E3C35"/>
    <w:rsid w:val="001F1121"/>
    <w:rsid w:val="001F2719"/>
    <w:rsid w:val="001F6D71"/>
    <w:rsid w:val="002030E0"/>
    <w:rsid w:val="00203630"/>
    <w:rsid w:val="002067FA"/>
    <w:rsid w:val="00212C79"/>
    <w:rsid w:val="00244722"/>
    <w:rsid w:val="00250771"/>
    <w:rsid w:val="00251D42"/>
    <w:rsid w:val="002527DB"/>
    <w:rsid w:val="00257521"/>
    <w:rsid w:val="0026186B"/>
    <w:rsid w:val="002714AC"/>
    <w:rsid w:val="002808D6"/>
    <w:rsid w:val="00280E99"/>
    <w:rsid w:val="00282D4F"/>
    <w:rsid w:val="00285B23"/>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37EF9"/>
    <w:rsid w:val="00347C64"/>
    <w:rsid w:val="00351DEE"/>
    <w:rsid w:val="003561D4"/>
    <w:rsid w:val="003561DB"/>
    <w:rsid w:val="003574FE"/>
    <w:rsid w:val="00362F0F"/>
    <w:rsid w:val="003845CC"/>
    <w:rsid w:val="0038598B"/>
    <w:rsid w:val="00387195"/>
    <w:rsid w:val="00393D6C"/>
    <w:rsid w:val="0039491F"/>
    <w:rsid w:val="003960ED"/>
    <w:rsid w:val="003A012B"/>
    <w:rsid w:val="003B1882"/>
    <w:rsid w:val="003C027E"/>
    <w:rsid w:val="003C0901"/>
    <w:rsid w:val="003C3973"/>
    <w:rsid w:val="003C4B69"/>
    <w:rsid w:val="003D18B1"/>
    <w:rsid w:val="003D4AD5"/>
    <w:rsid w:val="003F2B3E"/>
    <w:rsid w:val="003F3A6C"/>
    <w:rsid w:val="003F400D"/>
    <w:rsid w:val="0041456D"/>
    <w:rsid w:val="00424893"/>
    <w:rsid w:val="00426579"/>
    <w:rsid w:val="00435027"/>
    <w:rsid w:val="00437778"/>
    <w:rsid w:val="004448B6"/>
    <w:rsid w:val="00447AF7"/>
    <w:rsid w:val="00455714"/>
    <w:rsid w:val="00474B90"/>
    <w:rsid w:val="00481BC7"/>
    <w:rsid w:val="004A00EE"/>
    <w:rsid w:val="004A0591"/>
    <w:rsid w:val="004A5773"/>
    <w:rsid w:val="004A6561"/>
    <w:rsid w:val="004C128F"/>
    <w:rsid w:val="004C6120"/>
    <w:rsid w:val="004E3073"/>
    <w:rsid w:val="00520FD2"/>
    <w:rsid w:val="00522BBA"/>
    <w:rsid w:val="005240A8"/>
    <w:rsid w:val="0052477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C1B5A"/>
    <w:rsid w:val="005C3A51"/>
    <w:rsid w:val="005C4B32"/>
    <w:rsid w:val="005D2DCB"/>
    <w:rsid w:val="005D62D2"/>
    <w:rsid w:val="005F264E"/>
    <w:rsid w:val="005F3586"/>
    <w:rsid w:val="005F3FBD"/>
    <w:rsid w:val="00603814"/>
    <w:rsid w:val="00616617"/>
    <w:rsid w:val="006205C4"/>
    <w:rsid w:val="00622060"/>
    <w:rsid w:val="00631313"/>
    <w:rsid w:val="00636386"/>
    <w:rsid w:val="00637270"/>
    <w:rsid w:val="006570DE"/>
    <w:rsid w:val="00671B32"/>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6F5438"/>
    <w:rsid w:val="007045AD"/>
    <w:rsid w:val="007062BE"/>
    <w:rsid w:val="0071706C"/>
    <w:rsid w:val="00717F6E"/>
    <w:rsid w:val="00725671"/>
    <w:rsid w:val="0073524B"/>
    <w:rsid w:val="00740261"/>
    <w:rsid w:val="00744484"/>
    <w:rsid w:val="00753667"/>
    <w:rsid w:val="0075463E"/>
    <w:rsid w:val="007710A9"/>
    <w:rsid w:val="007742D2"/>
    <w:rsid w:val="00790CBD"/>
    <w:rsid w:val="007957DA"/>
    <w:rsid w:val="007A18E3"/>
    <w:rsid w:val="007A3F9C"/>
    <w:rsid w:val="007B7EB9"/>
    <w:rsid w:val="007C09DF"/>
    <w:rsid w:val="007C16EB"/>
    <w:rsid w:val="007D006F"/>
    <w:rsid w:val="007D4DCA"/>
    <w:rsid w:val="007E1CF6"/>
    <w:rsid w:val="007E3E4A"/>
    <w:rsid w:val="007E48F6"/>
    <w:rsid w:val="007F1403"/>
    <w:rsid w:val="00810BAF"/>
    <w:rsid w:val="008144DC"/>
    <w:rsid w:val="0081489F"/>
    <w:rsid w:val="00823E1B"/>
    <w:rsid w:val="00827E30"/>
    <w:rsid w:val="00831AB8"/>
    <w:rsid w:val="00831D2A"/>
    <w:rsid w:val="00852EF7"/>
    <w:rsid w:val="008557B1"/>
    <w:rsid w:val="00855F59"/>
    <w:rsid w:val="0086354E"/>
    <w:rsid w:val="008662D0"/>
    <w:rsid w:val="00866449"/>
    <w:rsid w:val="00870C1B"/>
    <w:rsid w:val="008736C5"/>
    <w:rsid w:val="00876978"/>
    <w:rsid w:val="00877B22"/>
    <w:rsid w:val="00882E91"/>
    <w:rsid w:val="00890129"/>
    <w:rsid w:val="008929A6"/>
    <w:rsid w:val="008A11AD"/>
    <w:rsid w:val="008A16B8"/>
    <w:rsid w:val="008A3C16"/>
    <w:rsid w:val="008A553B"/>
    <w:rsid w:val="008B60A9"/>
    <w:rsid w:val="008C434B"/>
    <w:rsid w:val="008E0612"/>
    <w:rsid w:val="008E4F33"/>
    <w:rsid w:val="00902AC5"/>
    <w:rsid w:val="0091258C"/>
    <w:rsid w:val="0092185F"/>
    <w:rsid w:val="009246CE"/>
    <w:rsid w:val="00926691"/>
    <w:rsid w:val="00927F27"/>
    <w:rsid w:val="00927F44"/>
    <w:rsid w:val="009643BB"/>
    <w:rsid w:val="009655A6"/>
    <w:rsid w:val="009726E3"/>
    <w:rsid w:val="00974D7E"/>
    <w:rsid w:val="00977634"/>
    <w:rsid w:val="00983601"/>
    <w:rsid w:val="00996692"/>
    <w:rsid w:val="00997787"/>
    <w:rsid w:val="009A1AE3"/>
    <w:rsid w:val="009A3515"/>
    <w:rsid w:val="009A734F"/>
    <w:rsid w:val="009B200B"/>
    <w:rsid w:val="009B3114"/>
    <w:rsid w:val="009C041A"/>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DB4"/>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6615"/>
    <w:rsid w:val="00B03682"/>
    <w:rsid w:val="00B10B31"/>
    <w:rsid w:val="00B10E87"/>
    <w:rsid w:val="00B10F31"/>
    <w:rsid w:val="00B1459A"/>
    <w:rsid w:val="00B153DC"/>
    <w:rsid w:val="00B20A2C"/>
    <w:rsid w:val="00B279FD"/>
    <w:rsid w:val="00B3010D"/>
    <w:rsid w:val="00B35796"/>
    <w:rsid w:val="00B37524"/>
    <w:rsid w:val="00B504D8"/>
    <w:rsid w:val="00B6195E"/>
    <w:rsid w:val="00B61BA6"/>
    <w:rsid w:val="00B61EF1"/>
    <w:rsid w:val="00B66D64"/>
    <w:rsid w:val="00B75415"/>
    <w:rsid w:val="00B81DCD"/>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0D69"/>
    <w:rsid w:val="00C41D3C"/>
    <w:rsid w:val="00C70EDA"/>
    <w:rsid w:val="00C71F22"/>
    <w:rsid w:val="00C8255E"/>
    <w:rsid w:val="00C85DF5"/>
    <w:rsid w:val="00C8651E"/>
    <w:rsid w:val="00C906F8"/>
    <w:rsid w:val="00C90D4D"/>
    <w:rsid w:val="00CA0FD5"/>
    <w:rsid w:val="00CA113E"/>
    <w:rsid w:val="00CA3E44"/>
    <w:rsid w:val="00CA6C2C"/>
    <w:rsid w:val="00CB1F69"/>
    <w:rsid w:val="00CB35B1"/>
    <w:rsid w:val="00CB7B42"/>
    <w:rsid w:val="00CC40A1"/>
    <w:rsid w:val="00CC674B"/>
    <w:rsid w:val="00CD20F8"/>
    <w:rsid w:val="00CD3C86"/>
    <w:rsid w:val="00CE225B"/>
    <w:rsid w:val="00CF3508"/>
    <w:rsid w:val="00CF3AC1"/>
    <w:rsid w:val="00D06AAC"/>
    <w:rsid w:val="00D105E4"/>
    <w:rsid w:val="00D11806"/>
    <w:rsid w:val="00D229CF"/>
    <w:rsid w:val="00D256C0"/>
    <w:rsid w:val="00D317DC"/>
    <w:rsid w:val="00D343E7"/>
    <w:rsid w:val="00D37CD1"/>
    <w:rsid w:val="00D54CF8"/>
    <w:rsid w:val="00D551D5"/>
    <w:rsid w:val="00D6204E"/>
    <w:rsid w:val="00D62D4C"/>
    <w:rsid w:val="00D73ABA"/>
    <w:rsid w:val="00D74B61"/>
    <w:rsid w:val="00D8537B"/>
    <w:rsid w:val="00D922C6"/>
    <w:rsid w:val="00DA2600"/>
    <w:rsid w:val="00DA77E5"/>
    <w:rsid w:val="00DB03D7"/>
    <w:rsid w:val="00DB24AF"/>
    <w:rsid w:val="00DC43D4"/>
    <w:rsid w:val="00DC7E60"/>
    <w:rsid w:val="00DE18F2"/>
    <w:rsid w:val="00DE6195"/>
    <w:rsid w:val="00DF10B1"/>
    <w:rsid w:val="00DF6CC2"/>
    <w:rsid w:val="00DF74B5"/>
    <w:rsid w:val="00DF76CB"/>
    <w:rsid w:val="00E04AA5"/>
    <w:rsid w:val="00E2203A"/>
    <w:rsid w:val="00E26B18"/>
    <w:rsid w:val="00E33602"/>
    <w:rsid w:val="00E40F90"/>
    <w:rsid w:val="00E43546"/>
    <w:rsid w:val="00E4471E"/>
    <w:rsid w:val="00E4587A"/>
    <w:rsid w:val="00E467E7"/>
    <w:rsid w:val="00E53852"/>
    <w:rsid w:val="00E53ED0"/>
    <w:rsid w:val="00E57F33"/>
    <w:rsid w:val="00E6365B"/>
    <w:rsid w:val="00E63CFE"/>
    <w:rsid w:val="00E66791"/>
    <w:rsid w:val="00E75920"/>
    <w:rsid w:val="00E80F09"/>
    <w:rsid w:val="00E92DC2"/>
    <w:rsid w:val="00EA3407"/>
    <w:rsid w:val="00EA5F3C"/>
    <w:rsid w:val="00EB1166"/>
    <w:rsid w:val="00EB443A"/>
    <w:rsid w:val="00EC0122"/>
    <w:rsid w:val="00ED623E"/>
    <w:rsid w:val="00ED77B4"/>
    <w:rsid w:val="00EE0D24"/>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1788"/>
    <w:rsid w:val="00F9323D"/>
    <w:rsid w:val="00F97FF3"/>
    <w:rsid w:val="00FA3D1C"/>
    <w:rsid w:val="00FB1F19"/>
    <w:rsid w:val="00FB21B7"/>
    <w:rsid w:val="00FC4272"/>
    <w:rsid w:val="00FC7C39"/>
    <w:rsid w:val="00FD67F9"/>
    <w:rsid w:val="00FE3751"/>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5A84"/>
    <w:rPr>
      <w:rFonts w:ascii="Calibri" w:eastAsia="Calibri" w:hAnsi="Calibri" w:cs="Calibri"/>
      <w:sz w:val="22"/>
      <w:szCs w:val="22"/>
    </w:rPr>
  </w:style>
  <w:style w:type="paragraph" w:styleId="Heading1">
    <w:name w:val="heading 1"/>
    <w:basedOn w:val="Normal"/>
    <w:next w:val="Normal"/>
    <w:qFormat/>
    <w:rsid w:val="00175A84"/>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175A84"/>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175A84"/>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175A84"/>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175A84"/>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175A84"/>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175A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75A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75A8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75A8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75A84"/>
  </w:style>
  <w:style w:type="paragraph" w:styleId="Header">
    <w:name w:val="header"/>
    <w:basedOn w:val="Normal"/>
    <w:rsid w:val="00175A84"/>
    <w:pPr>
      <w:tabs>
        <w:tab w:val="center" w:pos="4320"/>
        <w:tab w:val="right" w:pos="8640"/>
      </w:tabs>
    </w:pPr>
  </w:style>
  <w:style w:type="paragraph" w:styleId="Footer">
    <w:name w:val="footer"/>
    <w:basedOn w:val="Normal"/>
    <w:link w:val="FooterChar"/>
    <w:uiPriority w:val="99"/>
    <w:rsid w:val="00175A84"/>
    <w:pPr>
      <w:tabs>
        <w:tab w:val="center" w:pos="4320"/>
        <w:tab w:val="right" w:pos="8640"/>
      </w:tabs>
    </w:pPr>
  </w:style>
  <w:style w:type="table" w:styleId="TableGrid">
    <w:name w:val="Table Grid"/>
    <w:basedOn w:val="TableNormal"/>
    <w:rsid w:val="0017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175A84"/>
    <w:pPr>
      <w:jc w:val="right"/>
    </w:pPr>
    <w:rPr>
      <w:color w:val="FFFFFF"/>
      <w:szCs w:val="18"/>
    </w:rPr>
  </w:style>
  <w:style w:type="paragraph" w:customStyle="1" w:styleId="CountrySectorNameHeader">
    <w:name w:val="Country/Sector Name (Header)"/>
    <w:basedOn w:val="Normal"/>
    <w:rsid w:val="00175A84"/>
    <w:pPr>
      <w:jc w:val="right"/>
    </w:pPr>
    <w:rPr>
      <w:color w:val="B3BDD0"/>
      <w:sz w:val="16"/>
    </w:rPr>
  </w:style>
  <w:style w:type="paragraph" w:customStyle="1" w:styleId="iRReportTypeHeader">
    <w:name w:val="iR Report Type (Header)"/>
    <w:basedOn w:val="Normal"/>
    <w:rsid w:val="00175A84"/>
    <w:rPr>
      <w:color w:val="FFFFFF"/>
      <w:szCs w:val="18"/>
    </w:rPr>
  </w:style>
  <w:style w:type="paragraph" w:customStyle="1" w:styleId="iRCompanySectorNameHeader">
    <w:name w:val="iR Company/Sector Name (Header)"/>
    <w:basedOn w:val="Normal"/>
    <w:rsid w:val="00175A84"/>
    <w:rPr>
      <w:color w:val="FFFFFF"/>
      <w:sz w:val="72"/>
      <w:szCs w:val="72"/>
    </w:rPr>
  </w:style>
  <w:style w:type="paragraph" w:customStyle="1" w:styleId="iRDepartmentHeader">
    <w:name w:val="iR Department (Header)"/>
    <w:basedOn w:val="Normal"/>
    <w:rsid w:val="00175A84"/>
    <w:rPr>
      <w:color w:val="B3BDD0"/>
      <w:sz w:val="16"/>
      <w:szCs w:val="16"/>
    </w:rPr>
  </w:style>
  <w:style w:type="paragraph" w:customStyle="1" w:styleId="iRCountrySectorPageHeader">
    <w:name w:val="iR Country/Sector Page Header"/>
    <w:basedOn w:val="Header"/>
    <w:rsid w:val="00175A84"/>
    <w:rPr>
      <w:color w:val="012464"/>
      <w:sz w:val="20"/>
      <w:szCs w:val="20"/>
    </w:rPr>
  </w:style>
  <w:style w:type="paragraph" w:customStyle="1" w:styleId="iRCompanySectorNameFooter">
    <w:name w:val="iR Company/Sector Name Footer"/>
    <w:basedOn w:val="Footer"/>
    <w:rsid w:val="00175A84"/>
    <w:pPr>
      <w:jc w:val="right"/>
    </w:pPr>
    <w:rPr>
      <w:color w:val="FFFFFF"/>
      <w:sz w:val="16"/>
      <w:szCs w:val="16"/>
    </w:rPr>
  </w:style>
  <w:style w:type="character" w:styleId="PageNumber">
    <w:name w:val="page number"/>
    <w:basedOn w:val="DefaultParagraphFont"/>
    <w:rsid w:val="00175A84"/>
  </w:style>
  <w:style w:type="numbering" w:customStyle="1" w:styleId="StyleBulletedSymbolsymbolBefore025Hanging025">
    <w:name w:val="Style Bulleted Symbol (symbol) Before:  0.25&quot; Hanging:  0.25&quot;"/>
    <w:basedOn w:val="NoList"/>
    <w:rsid w:val="00175A84"/>
    <w:pPr>
      <w:numPr>
        <w:numId w:val="45"/>
      </w:numPr>
    </w:pPr>
  </w:style>
  <w:style w:type="paragraph" w:customStyle="1" w:styleId="iRBullet">
    <w:name w:val="iR Bullet"/>
    <w:basedOn w:val="Normal"/>
    <w:rsid w:val="00175A84"/>
    <w:pPr>
      <w:numPr>
        <w:numId w:val="45"/>
      </w:numPr>
    </w:pPr>
    <w:rPr>
      <w:b/>
      <w:bCs/>
      <w:color w:val="4D6692"/>
      <w:sz w:val="20"/>
      <w:szCs w:val="20"/>
    </w:rPr>
  </w:style>
  <w:style w:type="paragraph" w:customStyle="1" w:styleId="iRTableHead">
    <w:name w:val="iR Table Head"/>
    <w:basedOn w:val="Normal"/>
    <w:rsid w:val="00175A84"/>
    <w:rPr>
      <w:color w:val="FFFFFF"/>
      <w:sz w:val="16"/>
    </w:rPr>
  </w:style>
  <w:style w:type="paragraph" w:customStyle="1" w:styleId="iRTableRow">
    <w:name w:val="iR Table Row"/>
    <w:basedOn w:val="Normal"/>
    <w:rsid w:val="00175A84"/>
    <w:rPr>
      <w:color w:val="000000"/>
      <w:sz w:val="16"/>
      <w:szCs w:val="16"/>
    </w:rPr>
  </w:style>
  <w:style w:type="paragraph" w:customStyle="1" w:styleId="iRContactCard-ContactName">
    <w:name w:val="iR Contact Card - Contact Name"/>
    <w:basedOn w:val="Normal"/>
    <w:rsid w:val="00175A84"/>
    <w:pPr>
      <w:ind w:right="63"/>
      <w:jc w:val="right"/>
    </w:pPr>
    <w:rPr>
      <w:b/>
      <w:bCs/>
    </w:rPr>
  </w:style>
  <w:style w:type="paragraph" w:customStyle="1" w:styleId="iRContactCard-ContactInfo">
    <w:name w:val="iR Contact Card - Contact Info"/>
    <w:basedOn w:val="iRContactCard-ContactName"/>
    <w:rsid w:val="00175A84"/>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175A84"/>
    <w:pPr>
      <w:spacing w:line="440" w:lineRule="exact"/>
    </w:pPr>
    <w:rPr>
      <w:sz w:val="40"/>
      <w:szCs w:val="40"/>
    </w:rPr>
  </w:style>
  <w:style w:type="paragraph" w:customStyle="1" w:styleId="iRSubSectionTitle">
    <w:name w:val="iR SubSection Title"/>
    <w:basedOn w:val="Normal"/>
    <w:next w:val="Normal"/>
    <w:rsid w:val="00175A84"/>
    <w:pPr>
      <w:spacing w:line="240" w:lineRule="exact"/>
    </w:pPr>
    <w:rPr>
      <w:b/>
      <w:bCs/>
      <w:sz w:val="28"/>
      <w:szCs w:val="28"/>
    </w:rPr>
  </w:style>
  <w:style w:type="paragraph" w:customStyle="1" w:styleId="iRChartTitle">
    <w:name w:val="iR Chart Title"/>
    <w:basedOn w:val="Normal"/>
    <w:link w:val="iRChartTitleChar"/>
    <w:rsid w:val="00175A84"/>
    <w:rPr>
      <w:color w:val="FFFFFF"/>
      <w:sz w:val="20"/>
      <w:szCs w:val="20"/>
    </w:rPr>
  </w:style>
  <w:style w:type="paragraph" w:customStyle="1" w:styleId="iRChartNoteDark">
    <w:name w:val="iR Chart Note (Dark)"/>
    <w:basedOn w:val="Normal"/>
    <w:link w:val="iRChartNoteDarkChar"/>
    <w:rsid w:val="00175A84"/>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175A84"/>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175A84"/>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175A84"/>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175A84"/>
    <w:pPr>
      <w:spacing w:line="240" w:lineRule="exact"/>
    </w:pPr>
    <w:rPr>
      <w:color w:val="FFFFFF"/>
      <w:sz w:val="20"/>
      <w:szCs w:val="20"/>
    </w:rPr>
  </w:style>
  <w:style w:type="paragraph" w:customStyle="1" w:styleId="iRContactSheet-ContactName">
    <w:name w:val="iR Contact Sheet - Contact Name"/>
    <w:basedOn w:val="Normal"/>
    <w:rsid w:val="00175A84"/>
    <w:pPr>
      <w:spacing w:line="240" w:lineRule="exact"/>
    </w:pPr>
    <w:rPr>
      <w:color w:val="012464"/>
      <w:sz w:val="16"/>
      <w:szCs w:val="16"/>
    </w:rPr>
  </w:style>
  <w:style w:type="paragraph" w:customStyle="1" w:styleId="iRContactSheet-ContactTitleDept">
    <w:name w:val="iR Contact Sheet - Contact Title/Dept"/>
    <w:basedOn w:val="Normal"/>
    <w:rsid w:val="00175A84"/>
    <w:pPr>
      <w:ind w:right="63"/>
      <w:jc w:val="right"/>
    </w:pPr>
  </w:style>
  <w:style w:type="paragraph" w:customStyle="1" w:styleId="iRContactSheet-ContactEmail">
    <w:name w:val="iR Contact Sheet - Contact Email"/>
    <w:basedOn w:val="Normal"/>
    <w:rsid w:val="00175A84"/>
    <w:pPr>
      <w:ind w:right="63"/>
      <w:jc w:val="right"/>
    </w:pPr>
  </w:style>
  <w:style w:type="paragraph" w:customStyle="1" w:styleId="iRContactSheet-ContactPhone">
    <w:name w:val="iR Contact Sheet - Contact Phone"/>
    <w:basedOn w:val="Normal"/>
    <w:rsid w:val="00175A84"/>
    <w:pPr>
      <w:ind w:right="63"/>
      <w:jc w:val="right"/>
    </w:pPr>
  </w:style>
  <w:style w:type="paragraph" w:customStyle="1" w:styleId="iRTableSectionHeader">
    <w:name w:val="iR Table Section Header"/>
    <w:basedOn w:val="iRTableRow"/>
    <w:qFormat/>
    <w:rsid w:val="00175A84"/>
    <w:rPr>
      <w:color w:val="FFFFFF"/>
    </w:rPr>
  </w:style>
  <w:style w:type="paragraph" w:customStyle="1" w:styleId="iRDisclaimerRef">
    <w:name w:val="iR Disclaimer Ref"/>
    <w:basedOn w:val="Normal"/>
    <w:rsid w:val="00175A84"/>
    <w:pPr>
      <w:spacing w:line="240" w:lineRule="exact"/>
    </w:pPr>
    <w:rPr>
      <w:color w:val="012464"/>
      <w:sz w:val="14"/>
      <w:szCs w:val="14"/>
    </w:rPr>
  </w:style>
  <w:style w:type="paragraph" w:styleId="BalloonText">
    <w:name w:val="Balloon Text"/>
    <w:basedOn w:val="Normal"/>
    <w:link w:val="BalloonTextChar"/>
    <w:rsid w:val="00175A84"/>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175A84"/>
    <w:pPr>
      <w:numPr>
        <w:numId w:val="28"/>
      </w:numPr>
    </w:pPr>
  </w:style>
  <w:style w:type="numbering" w:styleId="1ai">
    <w:name w:val="Outline List 1"/>
    <w:basedOn w:val="NoList"/>
    <w:rsid w:val="00175A84"/>
    <w:pPr>
      <w:numPr>
        <w:numId w:val="29"/>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175A84"/>
    <w:pPr>
      <w:numPr>
        <w:numId w:val="30"/>
      </w:numPr>
    </w:pPr>
  </w:style>
  <w:style w:type="paragraph" w:styleId="Bibliography">
    <w:name w:val="Bibliography"/>
    <w:basedOn w:val="Normal"/>
    <w:next w:val="Normal"/>
    <w:uiPriority w:val="37"/>
    <w:semiHidden/>
    <w:unhideWhenUsed/>
    <w:rsid w:val="00175A84"/>
  </w:style>
  <w:style w:type="paragraph" w:styleId="BlockText">
    <w:name w:val="Block Text"/>
    <w:basedOn w:val="Normal"/>
    <w:rsid w:val="00175A84"/>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175A84"/>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175A84"/>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175A84"/>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175A84"/>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175A84"/>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175A84"/>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175A84"/>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175A84"/>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175A84"/>
    <w:rPr>
      <w:rFonts w:ascii="Tahoma" w:hAnsi="Tahoma" w:cs="Tahoma"/>
      <w:b/>
      <w:bCs/>
      <w:smallCaps/>
      <w:spacing w:val="5"/>
    </w:rPr>
  </w:style>
  <w:style w:type="paragraph" w:styleId="Caption">
    <w:name w:val="caption"/>
    <w:basedOn w:val="Normal"/>
    <w:next w:val="Normal"/>
    <w:semiHidden/>
    <w:unhideWhenUsed/>
    <w:qFormat/>
    <w:rsid w:val="00175A84"/>
    <w:pPr>
      <w:spacing w:after="200"/>
    </w:pPr>
    <w:rPr>
      <w:b/>
      <w:bCs/>
      <w:color w:val="012464" w:themeColor="accent1"/>
      <w:szCs w:val="18"/>
    </w:rPr>
  </w:style>
  <w:style w:type="paragraph" w:styleId="Closing">
    <w:name w:val="Closing"/>
    <w:basedOn w:val="Normal"/>
    <w:link w:val="ClosingChar"/>
    <w:rsid w:val="00175A84"/>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175A8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175A8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175A84"/>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175A84"/>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175A84"/>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175A84"/>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75A84"/>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175A84"/>
    <w:rPr>
      <w:rFonts w:ascii="Tahoma" w:hAnsi="Tahoma" w:cs="Tahoma"/>
      <w:sz w:val="16"/>
      <w:szCs w:val="16"/>
    </w:rPr>
  </w:style>
  <w:style w:type="paragraph" w:styleId="CommentText">
    <w:name w:val="annotation text"/>
    <w:basedOn w:val="Normal"/>
    <w:link w:val="CommentTextChar"/>
    <w:rsid w:val="00175A84"/>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175A84"/>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175A8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175A84"/>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175A84"/>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175A84"/>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175A84"/>
    <w:rPr>
      <w:i/>
      <w:iCs/>
    </w:rPr>
  </w:style>
  <w:style w:type="character" w:styleId="EndnoteReference">
    <w:name w:val="endnote reference"/>
    <w:basedOn w:val="DefaultParagraphFont"/>
    <w:rsid w:val="00175A84"/>
    <w:rPr>
      <w:vertAlign w:val="superscript"/>
    </w:rPr>
  </w:style>
  <w:style w:type="paragraph" w:styleId="EndnoteText">
    <w:name w:val="endnote text"/>
    <w:basedOn w:val="Normal"/>
    <w:link w:val="EndnoteTextChar"/>
    <w:rsid w:val="00175A84"/>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175A84"/>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175A84"/>
    <w:rPr>
      <w:rFonts w:asciiTheme="majorHAnsi" w:eastAsiaTheme="majorEastAsia" w:hAnsiTheme="majorHAnsi" w:cstheme="majorBidi"/>
      <w:sz w:val="20"/>
      <w:szCs w:val="20"/>
    </w:rPr>
  </w:style>
  <w:style w:type="character" w:styleId="FollowedHyperlink">
    <w:name w:val="FollowedHyperlink"/>
    <w:basedOn w:val="DefaultParagraphFont"/>
    <w:rsid w:val="00175A84"/>
    <w:rPr>
      <w:color w:val="8DB3E2" w:themeColor="followedHyperlink"/>
      <w:u w:val="single"/>
    </w:rPr>
  </w:style>
  <w:style w:type="character" w:styleId="FootnoteReference">
    <w:name w:val="footnote reference"/>
    <w:basedOn w:val="DefaultParagraphFont"/>
    <w:rsid w:val="00175A84"/>
    <w:rPr>
      <w:vertAlign w:val="superscript"/>
    </w:rPr>
  </w:style>
  <w:style w:type="paragraph" w:styleId="FootnoteText">
    <w:name w:val="footnote text"/>
    <w:basedOn w:val="Normal"/>
    <w:link w:val="FootnoteTextChar"/>
    <w:rsid w:val="00175A84"/>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175A84"/>
  </w:style>
  <w:style w:type="paragraph" w:styleId="HTMLAddress">
    <w:name w:val="HTML Address"/>
    <w:basedOn w:val="Normal"/>
    <w:link w:val="HTMLAddressChar"/>
    <w:rsid w:val="00175A84"/>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175A84"/>
    <w:rPr>
      <w:i/>
      <w:iCs/>
    </w:rPr>
  </w:style>
  <w:style w:type="character" w:styleId="HTMLCode">
    <w:name w:val="HTML Code"/>
    <w:basedOn w:val="DefaultParagraphFont"/>
    <w:rsid w:val="00175A84"/>
    <w:rPr>
      <w:rFonts w:ascii="Consolas" w:hAnsi="Consolas"/>
      <w:sz w:val="20"/>
      <w:szCs w:val="20"/>
    </w:rPr>
  </w:style>
  <w:style w:type="character" w:styleId="HTMLDefinition">
    <w:name w:val="HTML Definition"/>
    <w:basedOn w:val="DefaultParagraphFont"/>
    <w:rsid w:val="00175A84"/>
    <w:rPr>
      <w:i/>
      <w:iCs/>
    </w:rPr>
  </w:style>
  <w:style w:type="character" w:styleId="HTMLKeyboard">
    <w:name w:val="HTML Keyboard"/>
    <w:basedOn w:val="DefaultParagraphFont"/>
    <w:rsid w:val="00175A84"/>
    <w:rPr>
      <w:rFonts w:ascii="Consolas" w:hAnsi="Consolas"/>
      <w:sz w:val="20"/>
      <w:szCs w:val="20"/>
    </w:rPr>
  </w:style>
  <w:style w:type="paragraph" w:styleId="HTMLPreformatted">
    <w:name w:val="HTML Preformatted"/>
    <w:basedOn w:val="Normal"/>
    <w:link w:val="HTMLPreformattedChar"/>
    <w:rsid w:val="00175A84"/>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175A84"/>
    <w:rPr>
      <w:rFonts w:ascii="Consolas" w:hAnsi="Consolas"/>
      <w:sz w:val="24"/>
      <w:szCs w:val="24"/>
    </w:rPr>
  </w:style>
  <w:style w:type="character" w:styleId="HTMLTypewriter">
    <w:name w:val="HTML Typewriter"/>
    <w:basedOn w:val="DefaultParagraphFont"/>
    <w:rsid w:val="00175A84"/>
    <w:rPr>
      <w:rFonts w:ascii="Consolas" w:hAnsi="Consolas"/>
      <w:sz w:val="20"/>
      <w:szCs w:val="20"/>
    </w:rPr>
  </w:style>
  <w:style w:type="character" w:styleId="HTMLVariable">
    <w:name w:val="HTML Variable"/>
    <w:basedOn w:val="DefaultParagraphFont"/>
    <w:rsid w:val="00175A84"/>
    <w:rPr>
      <w:i/>
      <w:iCs/>
    </w:rPr>
  </w:style>
  <w:style w:type="character" w:styleId="Hyperlink">
    <w:name w:val="Hyperlink"/>
    <w:basedOn w:val="DefaultParagraphFont"/>
    <w:rsid w:val="00175A84"/>
    <w:rPr>
      <w:color w:val="BFC8D8" w:themeColor="hyperlink"/>
      <w:u w:val="single"/>
    </w:rPr>
  </w:style>
  <w:style w:type="paragraph" w:styleId="Index1">
    <w:name w:val="index 1"/>
    <w:basedOn w:val="Normal"/>
    <w:next w:val="Normal"/>
    <w:autoRedefine/>
    <w:rsid w:val="00175A84"/>
    <w:pPr>
      <w:ind w:left="180" w:hanging="180"/>
    </w:pPr>
  </w:style>
  <w:style w:type="paragraph" w:styleId="Index2">
    <w:name w:val="index 2"/>
    <w:basedOn w:val="Normal"/>
    <w:next w:val="Normal"/>
    <w:autoRedefine/>
    <w:rsid w:val="00175A84"/>
    <w:pPr>
      <w:ind w:left="360" w:hanging="180"/>
    </w:pPr>
  </w:style>
  <w:style w:type="paragraph" w:styleId="Index3">
    <w:name w:val="index 3"/>
    <w:basedOn w:val="Normal"/>
    <w:next w:val="Normal"/>
    <w:autoRedefine/>
    <w:rsid w:val="00175A84"/>
    <w:pPr>
      <w:ind w:left="540" w:hanging="180"/>
    </w:pPr>
  </w:style>
  <w:style w:type="paragraph" w:styleId="Index4">
    <w:name w:val="index 4"/>
    <w:basedOn w:val="Normal"/>
    <w:next w:val="Normal"/>
    <w:autoRedefine/>
    <w:rsid w:val="00175A84"/>
    <w:pPr>
      <w:ind w:left="720" w:hanging="180"/>
    </w:pPr>
  </w:style>
  <w:style w:type="paragraph" w:styleId="Index5">
    <w:name w:val="index 5"/>
    <w:basedOn w:val="Normal"/>
    <w:next w:val="Normal"/>
    <w:autoRedefine/>
    <w:rsid w:val="00175A84"/>
    <w:pPr>
      <w:ind w:left="900" w:hanging="180"/>
    </w:pPr>
  </w:style>
  <w:style w:type="paragraph" w:styleId="Index6">
    <w:name w:val="index 6"/>
    <w:basedOn w:val="Normal"/>
    <w:next w:val="Normal"/>
    <w:autoRedefine/>
    <w:rsid w:val="00175A84"/>
    <w:pPr>
      <w:ind w:left="1080" w:hanging="180"/>
    </w:pPr>
  </w:style>
  <w:style w:type="paragraph" w:styleId="Index7">
    <w:name w:val="index 7"/>
    <w:basedOn w:val="Normal"/>
    <w:next w:val="Normal"/>
    <w:autoRedefine/>
    <w:rsid w:val="00175A84"/>
    <w:pPr>
      <w:ind w:left="1260" w:hanging="180"/>
    </w:pPr>
  </w:style>
  <w:style w:type="paragraph" w:styleId="Index8">
    <w:name w:val="index 8"/>
    <w:basedOn w:val="Normal"/>
    <w:next w:val="Normal"/>
    <w:autoRedefine/>
    <w:rsid w:val="00175A84"/>
    <w:pPr>
      <w:ind w:left="1440" w:hanging="180"/>
    </w:pPr>
  </w:style>
  <w:style w:type="paragraph" w:styleId="Index9">
    <w:name w:val="index 9"/>
    <w:basedOn w:val="Normal"/>
    <w:next w:val="Normal"/>
    <w:autoRedefine/>
    <w:rsid w:val="00175A84"/>
    <w:pPr>
      <w:ind w:left="1620" w:hanging="180"/>
    </w:pPr>
  </w:style>
  <w:style w:type="paragraph" w:styleId="IndexHeading">
    <w:name w:val="index heading"/>
    <w:basedOn w:val="Normal"/>
    <w:next w:val="Index1"/>
    <w:rsid w:val="00175A84"/>
    <w:rPr>
      <w:rFonts w:asciiTheme="majorHAnsi" w:eastAsiaTheme="majorEastAsia" w:hAnsiTheme="majorHAnsi" w:cstheme="majorBidi"/>
      <w:b/>
      <w:bCs/>
    </w:rPr>
  </w:style>
  <w:style w:type="character" w:styleId="IntenseEmphasis">
    <w:name w:val="Intense Emphasis"/>
    <w:basedOn w:val="DefaultParagraphFont"/>
    <w:uiPriority w:val="21"/>
    <w:qFormat/>
    <w:rsid w:val="00175A84"/>
    <w:rPr>
      <w:b/>
      <w:bCs/>
      <w:i/>
      <w:iCs/>
      <w:color w:val="012464" w:themeColor="accent1"/>
    </w:rPr>
  </w:style>
  <w:style w:type="paragraph" w:styleId="IntenseQuote">
    <w:name w:val="Intense Quote"/>
    <w:basedOn w:val="Normal"/>
    <w:next w:val="Normal"/>
    <w:link w:val="IntenseQuoteChar"/>
    <w:uiPriority w:val="30"/>
    <w:qFormat/>
    <w:rsid w:val="00175A84"/>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175A84"/>
    <w:rPr>
      <w:b/>
      <w:bCs/>
      <w:smallCaps/>
      <w:color w:val="26467C" w:themeColor="accent2"/>
      <w:spacing w:val="5"/>
      <w:u w:val="single"/>
    </w:rPr>
  </w:style>
  <w:style w:type="table" w:customStyle="1" w:styleId="LightGrid1">
    <w:name w:val="Light Grid1"/>
    <w:basedOn w:val="TableNormal"/>
    <w:uiPriority w:val="62"/>
    <w:rsid w:val="00175A8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175A84"/>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175A84"/>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175A84"/>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175A84"/>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175A84"/>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175A84"/>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175A8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75A84"/>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175A84"/>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175A84"/>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175A84"/>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175A84"/>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175A84"/>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175A8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75A84"/>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175A84"/>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175A84"/>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175A84"/>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175A84"/>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175A84"/>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175A84"/>
  </w:style>
  <w:style w:type="paragraph" w:styleId="List">
    <w:name w:val="List"/>
    <w:basedOn w:val="Normal"/>
    <w:rsid w:val="00175A84"/>
    <w:pPr>
      <w:ind w:left="283" w:hanging="283"/>
      <w:contextualSpacing/>
    </w:pPr>
  </w:style>
  <w:style w:type="paragraph" w:styleId="List2">
    <w:name w:val="List 2"/>
    <w:basedOn w:val="Normal"/>
    <w:rsid w:val="00175A84"/>
    <w:pPr>
      <w:ind w:left="566" w:hanging="283"/>
      <w:contextualSpacing/>
    </w:pPr>
  </w:style>
  <w:style w:type="paragraph" w:styleId="List3">
    <w:name w:val="List 3"/>
    <w:basedOn w:val="Normal"/>
    <w:rsid w:val="00175A84"/>
    <w:pPr>
      <w:ind w:left="849" w:hanging="283"/>
      <w:contextualSpacing/>
    </w:pPr>
  </w:style>
  <w:style w:type="paragraph" w:styleId="List4">
    <w:name w:val="List 4"/>
    <w:basedOn w:val="Normal"/>
    <w:rsid w:val="00175A84"/>
    <w:pPr>
      <w:ind w:left="1132" w:hanging="283"/>
      <w:contextualSpacing/>
    </w:pPr>
  </w:style>
  <w:style w:type="paragraph" w:styleId="List5">
    <w:name w:val="List 5"/>
    <w:basedOn w:val="Normal"/>
    <w:rsid w:val="00175A84"/>
    <w:pPr>
      <w:ind w:left="1415" w:hanging="283"/>
      <w:contextualSpacing/>
    </w:pPr>
  </w:style>
  <w:style w:type="paragraph" w:styleId="ListBullet">
    <w:name w:val="List Bullet"/>
    <w:basedOn w:val="Normal"/>
    <w:rsid w:val="00175A84"/>
    <w:pPr>
      <w:numPr>
        <w:numId w:val="35"/>
      </w:numPr>
      <w:contextualSpacing/>
    </w:pPr>
  </w:style>
  <w:style w:type="paragraph" w:styleId="ListBullet2">
    <w:name w:val="List Bullet 2"/>
    <w:basedOn w:val="Normal"/>
    <w:rsid w:val="00175A84"/>
    <w:pPr>
      <w:numPr>
        <w:numId w:val="36"/>
      </w:numPr>
      <w:contextualSpacing/>
    </w:pPr>
  </w:style>
  <w:style w:type="paragraph" w:styleId="ListBullet3">
    <w:name w:val="List Bullet 3"/>
    <w:basedOn w:val="Normal"/>
    <w:rsid w:val="00175A84"/>
    <w:pPr>
      <w:numPr>
        <w:numId w:val="37"/>
      </w:numPr>
      <w:contextualSpacing/>
    </w:pPr>
  </w:style>
  <w:style w:type="paragraph" w:styleId="ListBullet4">
    <w:name w:val="List Bullet 4"/>
    <w:basedOn w:val="Normal"/>
    <w:rsid w:val="00175A84"/>
    <w:pPr>
      <w:numPr>
        <w:numId w:val="38"/>
      </w:numPr>
      <w:contextualSpacing/>
    </w:pPr>
  </w:style>
  <w:style w:type="paragraph" w:styleId="ListBullet5">
    <w:name w:val="List Bullet 5"/>
    <w:basedOn w:val="Normal"/>
    <w:rsid w:val="00175A84"/>
    <w:pPr>
      <w:numPr>
        <w:numId w:val="39"/>
      </w:numPr>
      <w:contextualSpacing/>
    </w:pPr>
  </w:style>
  <w:style w:type="paragraph" w:styleId="ListContinue">
    <w:name w:val="List Continue"/>
    <w:basedOn w:val="Normal"/>
    <w:rsid w:val="00175A84"/>
    <w:pPr>
      <w:spacing w:after="120"/>
      <w:ind w:left="283"/>
      <w:contextualSpacing/>
    </w:pPr>
  </w:style>
  <w:style w:type="paragraph" w:styleId="ListContinue2">
    <w:name w:val="List Continue 2"/>
    <w:basedOn w:val="Normal"/>
    <w:rsid w:val="00175A84"/>
    <w:pPr>
      <w:spacing w:after="120"/>
      <w:ind w:left="566"/>
      <w:contextualSpacing/>
    </w:pPr>
  </w:style>
  <w:style w:type="paragraph" w:styleId="ListContinue3">
    <w:name w:val="List Continue 3"/>
    <w:basedOn w:val="Normal"/>
    <w:rsid w:val="00175A84"/>
    <w:pPr>
      <w:spacing w:after="120"/>
      <w:ind w:left="849"/>
      <w:contextualSpacing/>
    </w:pPr>
  </w:style>
  <w:style w:type="paragraph" w:styleId="ListContinue4">
    <w:name w:val="List Continue 4"/>
    <w:basedOn w:val="Normal"/>
    <w:rsid w:val="00175A84"/>
    <w:pPr>
      <w:spacing w:after="120"/>
      <w:ind w:left="1132"/>
      <w:contextualSpacing/>
    </w:pPr>
  </w:style>
  <w:style w:type="paragraph" w:styleId="ListContinue5">
    <w:name w:val="List Continue 5"/>
    <w:basedOn w:val="Normal"/>
    <w:rsid w:val="00175A84"/>
    <w:pPr>
      <w:spacing w:after="120"/>
      <w:ind w:left="1415"/>
      <w:contextualSpacing/>
    </w:pPr>
  </w:style>
  <w:style w:type="paragraph" w:styleId="ListNumber">
    <w:name w:val="List Number"/>
    <w:basedOn w:val="Normal"/>
    <w:rsid w:val="00175A84"/>
    <w:pPr>
      <w:numPr>
        <w:numId w:val="40"/>
      </w:numPr>
      <w:contextualSpacing/>
    </w:pPr>
  </w:style>
  <w:style w:type="paragraph" w:styleId="ListNumber2">
    <w:name w:val="List Number 2"/>
    <w:basedOn w:val="Normal"/>
    <w:rsid w:val="00175A84"/>
    <w:pPr>
      <w:numPr>
        <w:numId w:val="41"/>
      </w:numPr>
      <w:contextualSpacing/>
    </w:pPr>
  </w:style>
  <w:style w:type="paragraph" w:styleId="ListNumber3">
    <w:name w:val="List Number 3"/>
    <w:basedOn w:val="Normal"/>
    <w:rsid w:val="00175A84"/>
    <w:pPr>
      <w:numPr>
        <w:numId w:val="42"/>
      </w:numPr>
      <w:contextualSpacing/>
    </w:pPr>
  </w:style>
  <w:style w:type="paragraph" w:styleId="ListNumber4">
    <w:name w:val="List Number 4"/>
    <w:basedOn w:val="Normal"/>
    <w:rsid w:val="00175A84"/>
    <w:pPr>
      <w:numPr>
        <w:numId w:val="43"/>
      </w:numPr>
      <w:contextualSpacing/>
    </w:pPr>
  </w:style>
  <w:style w:type="paragraph" w:styleId="ListNumber5">
    <w:name w:val="List Number 5"/>
    <w:basedOn w:val="Normal"/>
    <w:rsid w:val="00175A84"/>
    <w:pPr>
      <w:numPr>
        <w:numId w:val="44"/>
      </w:numPr>
      <w:contextualSpacing/>
    </w:pPr>
  </w:style>
  <w:style w:type="paragraph" w:styleId="ListParagraph">
    <w:name w:val="List Paragraph"/>
    <w:basedOn w:val="Normal"/>
    <w:uiPriority w:val="34"/>
    <w:qFormat/>
    <w:rsid w:val="00175A84"/>
    <w:pPr>
      <w:ind w:left="720"/>
      <w:contextualSpacing/>
    </w:pPr>
  </w:style>
  <w:style w:type="paragraph" w:styleId="MacroText">
    <w:name w:val="macro"/>
    <w:link w:val="MacroTextChar"/>
    <w:rsid w:val="00175A84"/>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175A8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175A84"/>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175A84"/>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175A84"/>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175A84"/>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175A84"/>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175A84"/>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175A8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175A8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175A84"/>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175A84"/>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175A84"/>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175A84"/>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175A84"/>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175A84"/>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75A84"/>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175A8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75A84"/>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175A84"/>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175A84"/>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175A84"/>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75A84"/>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175A84"/>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75A8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75A8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175A84"/>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175A84"/>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175A84"/>
    <w:rPr>
      <w:color w:val="808080"/>
    </w:rPr>
  </w:style>
  <w:style w:type="paragraph" w:styleId="PlainText">
    <w:name w:val="Plain Text"/>
    <w:basedOn w:val="Normal"/>
    <w:link w:val="PlainTextChar"/>
    <w:rsid w:val="00175A84"/>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175A84"/>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175A84"/>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175A84"/>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175A84"/>
    <w:rPr>
      <w:b/>
      <w:bCs/>
    </w:rPr>
  </w:style>
  <w:style w:type="paragraph" w:styleId="Subtitle">
    <w:name w:val="Subtitle"/>
    <w:basedOn w:val="Normal"/>
    <w:next w:val="Normal"/>
    <w:link w:val="SubtitleChar"/>
    <w:qFormat/>
    <w:rsid w:val="00175A84"/>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175A84"/>
    <w:rPr>
      <w:i/>
      <w:iCs/>
      <w:color w:val="808080" w:themeColor="text1" w:themeTint="7F"/>
    </w:rPr>
  </w:style>
  <w:style w:type="character" w:styleId="SubtleReference">
    <w:name w:val="Subtle Reference"/>
    <w:basedOn w:val="DefaultParagraphFont"/>
    <w:uiPriority w:val="31"/>
    <w:qFormat/>
    <w:rsid w:val="00175A84"/>
    <w:rPr>
      <w:smallCaps/>
      <w:color w:val="26467C" w:themeColor="accent2"/>
      <w:u w:val="single"/>
    </w:rPr>
  </w:style>
  <w:style w:type="table" w:styleId="Table3Deffects1">
    <w:name w:val="Table 3D effects 1"/>
    <w:basedOn w:val="TableNormal"/>
    <w:rsid w:val="00175A8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75A8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75A8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75A8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75A8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75A8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75A8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75A8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75A8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75A8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75A8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75A8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75A8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75A8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75A8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75A8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75A8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75A8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75A8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75A8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75A8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75A8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75A8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75A8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75A8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75A8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75A8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75A8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75A8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75A8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75A8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175A84"/>
    <w:pPr>
      <w:ind w:left="180" w:hanging="180"/>
    </w:pPr>
  </w:style>
  <w:style w:type="paragraph" w:styleId="TableofFigures">
    <w:name w:val="table of figures"/>
    <w:basedOn w:val="Normal"/>
    <w:next w:val="Normal"/>
    <w:rsid w:val="00175A84"/>
  </w:style>
  <w:style w:type="table" w:styleId="TableProfessional">
    <w:name w:val="Table Professional"/>
    <w:basedOn w:val="TableNormal"/>
    <w:rsid w:val="00175A8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75A8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75A8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75A8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75A8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75A8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75A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75A8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75A8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75A8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175A84"/>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175A84"/>
    <w:pPr>
      <w:spacing w:before="120"/>
    </w:pPr>
    <w:rPr>
      <w:rFonts w:asciiTheme="majorHAnsi" w:eastAsiaTheme="majorEastAsia" w:hAnsiTheme="majorHAnsi" w:cstheme="majorBidi"/>
      <w:b/>
      <w:bCs/>
      <w:sz w:val="24"/>
    </w:rPr>
  </w:style>
  <w:style w:type="paragraph" w:styleId="TOC1">
    <w:name w:val="toc 1"/>
    <w:basedOn w:val="Normal"/>
    <w:next w:val="Normal"/>
    <w:autoRedefine/>
    <w:rsid w:val="00175A84"/>
    <w:pPr>
      <w:spacing w:after="100"/>
    </w:pPr>
  </w:style>
  <w:style w:type="paragraph" w:styleId="TOC2">
    <w:name w:val="toc 2"/>
    <w:basedOn w:val="Normal"/>
    <w:next w:val="Normal"/>
    <w:autoRedefine/>
    <w:rsid w:val="00175A84"/>
    <w:pPr>
      <w:spacing w:after="100"/>
      <w:ind w:left="180"/>
    </w:pPr>
  </w:style>
  <w:style w:type="paragraph" w:styleId="TOC3">
    <w:name w:val="toc 3"/>
    <w:basedOn w:val="Normal"/>
    <w:next w:val="Normal"/>
    <w:autoRedefine/>
    <w:rsid w:val="00175A84"/>
    <w:pPr>
      <w:spacing w:after="100"/>
      <w:ind w:left="360"/>
    </w:pPr>
  </w:style>
  <w:style w:type="paragraph" w:styleId="TOC4">
    <w:name w:val="toc 4"/>
    <w:basedOn w:val="Normal"/>
    <w:next w:val="Normal"/>
    <w:autoRedefine/>
    <w:rsid w:val="00175A84"/>
    <w:pPr>
      <w:spacing w:after="100"/>
      <w:ind w:left="540"/>
    </w:pPr>
  </w:style>
  <w:style w:type="paragraph" w:styleId="TOC5">
    <w:name w:val="toc 5"/>
    <w:basedOn w:val="Normal"/>
    <w:next w:val="Normal"/>
    <w:autoRedefine/>
    <w:rsid w:val="00175A84"/>
    <w:pPr>
      <w:spacing w:after="100"/>
      <w:ind w:left="720"/>
    </w:pPr>
  </w:style>
  <w:style w:type="paragraph" w:styleId="TOC6">
    <w:name w:val="toc 6"/>
    <w:basedOn w:val="Normal"/>
    <w:next w:val="Normal"/>
    <w:autoRedefine/>
    <w:rsid w:val="00175A84"/>
    <w:pPr>
      <w:spacing w:after="100"/>
      <w:ind w:left="900"/>
    </w:pPr>
  </w:style>
  <w:style w:type="paragraph" w:styleId="TOC7">
    <w:name w:val="toc 7"/>
    <w:basedOn w:val="Normal"/>
    <w:next w:val="Normal"/>
    <w:autoRedefine/>
    <w:rsid w:val="00175A84"/>
    <w:pPr>
      <w:spacing w:after="100"/>
      <w:ind w:left="1080"/>
    </w:pPr>
  </w:style>
  <w:style w:type="paragraph" w:styleId="TOC8">
    <w:name w:val="toc 8"/>
    <w:basedOn w:val="Normal"/>
    <w:next w:val="Normal"/>
    <w:autoRedefine/>
    <w:rsid w:val="00175A84"/>
    <w:pPr>
      <w:spacing w:after="100"/>
      <w:ind w:left="1260"/>
    </w:pPr>
  </w:style>
  <w:style w:type="paragraph" w:styleId="TOC9">
    <w:name w:val="toc 9"/>
    <w:basedOn w:val="Normal"/>
    <w:next w:val="Normal"/>
    <w:autoRedefine/>
    <w:rsid w:val="00175A84"/>
    <w:pPr>
      <w:spacing w:after="100"/>
      <w:ind w:left="1440"/>
    </w:pPr>
  </w:style>
  <w:style w:type="paragraph" w:styleId="TOCHeading">
    <w:name w:val="TOC Heading"/>
    <w:basedOn w:val="Heading1"/>
    <w:next w:val="Normal"/>
    <w:uiPriority w:val="39"/>
    <w:semiHidden/>
    <w:unhideWhenUsed/>
    <w:qFormat/>
    <w:rsid w:val="00175A84"/>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175A84"/>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24BC5-57B5-4FFF-A5E2-2B794472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17</cp:revision>
  <cp:lastPrinted>2010-08-26T10:57:00Z</cp:lastPrinted>
  <dcterms:created xsi:type="dcterms:W3CDTF">2010-08-26T11:36:00Z</dcterms:created>
  <dcterms:modified xsi:type="dcterms:W3CDTF">2010-09-21T03:31:00Z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