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2.xml" ContentType="application/vnd.openxmlformats-officedocument.themeOverride+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756" w:type="pct"/>
        <w:tblInd w:w="378" w:type="dxa"/>
        <w:tblLayout w:type="fixed"/>
        <w:tblLook w:val="01E0"/>
      </w:tblPr>
      <w:tblGrid>
        <w:gridCol w:w="6318"/>
        <w:gridCol w:w="236"/>
        <w:gridCol w:w="3325"/>
      </w:tblGrid>
      <w:tr w:rsidR="00F72E6F" w:rsidRPr="00AA3236" w:rsidTr="00F72E6F">
        <w:tc>
          <w:tcPr>
            <w:tcW w:w="6319" w:type="dxa"/>
          </w:tcPr>
          <w:p w:rsidR="00F72E6F" w:rsidRPr="00C66408" w:rsidRDefault="00F72E6F" w:rsidP="00F443E2">
            <w:pPr>
              <w:pStyle w:val="iRSectionTitle"/>
              <w:rPr>
                <w:rFonts w:asciiTheme="minorHAnsi" w:hAnsiTheme="minorHAnsi" w:cstheme="minorHAnsi"/>
                <w:sz w:val="40"/>
                <w:szCs w:val="40"/>
              </w:rPr>
            </w:pPr>
            <w:r w:rsidRPr="00C66408">
              <w:rPr>
                <w:rFonts w:asciiTheme="minorHAnsi" w:hAnsiTheme="minorHAnsi" w:cstheme="minorHAnsi"/>
                <w:sz w:val="40"/>
                <w:szCs w:val="40"/>
              </w:rPr>
              <w:t xml:space="preserve">Cover Page Section title </w:t>
            </w:r>
          </w:p>
        </w:tc>
        <w:tc>
          <w:tcPr>
            <w:tcW w:w="236" w:type="dxa"/>
          </w:tcPr>
          <w:p w:rsidR="00F72E6F" w:rsidRPr="00C66408" w:rsidRDefault="00F72E6F" w:rsidP="00F443E2">
            <w:pPr>
              <w:rPr>
                <w:rFonts w:asciiTheme="minorHAnsi" w:hAnsiTheme="minorHAnsi" w:cstheme="minorHAnsi"/>
                <w:sz w:val="40"/>
                <w:szCs w:val="40"/>
              </w:rPr>
            </w:pPr>
          </w:p>
        </w:tc>
        <w:tc>
          <w:tcPr>
            <w:tcW w:w="3325" w:type="dxa"/>
          </w:tcPr>
          <w:p w:rsidR="00F72E6F" w:rsidRPr="00C66408" w:rsidRDefault="003E46AC" w:rsidP="00F443E2">
            <w:pPr>
              <w:pStyle w:val="iRSectionTitle"/>
              <w:rPr>
                <w:rFonts w:asciiTheme="minorHAnsi" w:hAnsiTheme="minorHAnsi" w:cstheme="minorHAnsi"/>
                <w:sz w:val="40"/>
                <w:szCs w:val="40"/>
              </w:rPr>
            </w:pPr>
            <w:r w:rsidRPr="00C66408">
              <w:rPr>
                <w:rFonts w:asciiTheme="minorHAnsi" w:hAnsiTheme="minorHAnsi" w:cstheme="minorHAnsi"/>
                <w:sz w:val="40"/>
                <w:szCs w:val="40"/>
              </w:rPr>
              <w:t>Month Year</w:t>
            </w:r>
          </w:p>
        </w:tc>
      </w:tr>
      <w:tr w:rsidR="00F72E6F" w:rsidRPr="00AA3236" w:rsidTr="00F72E6F">
        <w:tc>
          <w:tcPr>
            <w:tcW w:w="6319" w:type="dxa"/>
          </w:tcPr>
          <w:p w:rsidR="00F72E6F" w:rsidRPr="00EF543C" w:rsidRDefault="00F72E6F" w:rsidP="00F443E2">
            <w:pPr>
              <w:rPr>
                <w:rFonts w:ascii="Verdana" w:hAnsi="Verdana" w:cs="Calibri"/>
                <w:sz w:val="22"/>
              </w:rPr>
            </w:pPr>
          </w:p>
          <w:p w:rsidR="00C66408" w:rsidRPr="00EF543C" w:rsidRDefault="00C66408" w:rsidP="00C66408">
            <w:pPr>
              <w:pStyle w:val="iRBullet"/>
              <w:tabs>
                <w:tab w:val="clear" w:pos="180"/>
                <w:tab w:val="num" w:pos="-3780"/>
              </w:tabs>
              <w:ind w:left="360" w:hanging="270"/>
              <w:rPr>
                <w:rFonts w:ascii="Calibri" w:hAnsi="Calibri" w:cs="Calibri"/>
                <w:sz w:val="22"/>
                <w:szCs w:val="22"/>
              </w:rPr>
            </w:pPr>
            <w:r w:rsidRPr="00EF543C">
              <w:rPr>
                <w:rFonts w:ascii="Calibri" w:hAnsi="Calibri" w:cs="Calibri"/>
                <w:sz w:val="22"/>
                <w:szCs w:val="22"/>
              </w:rPr>
              <w:t>Key Point  Number 1</w:t>
            </w:r>
          </w:p>
          <w:p w:rsidR="00C66408" w:rsidRPr="00EF543C" w:rsidRDefault="00C66408" w:rsidP="00C66408">
            <w:pPr>
              <w:pStyle w:val="iRBullet"/>
              <w:tabs>
                <w:tab w:val="clear" w:pos="180"/>
                <w:tab w:val="num" w:pos="-3780"/>
              </w:tabs>
              <w:ind w:left="360" w:hanging="270"/>
              <w:rPr>
                <w:rFonts w:ascii="Calibri" w:hAnsi="Calibri" w:cs="Calibri"/>
                <w:sz w:val="22"/>
                <w:szCs w:val="22"/>
              </w:rPr>
            </w:pPr>
            <w:r w:rsidRPr="00EF543C">
              <w:rPr>
                <w:rFonts w:ascii="Calibri" w:hAnsi="Calibri" w:cs="Calibri"/>
                <w:sz w:val="22"/>
                <w:szCs w:val="22"/>
              </w:rPr>
              <w:t>Key Point  Number 2</w:t>
            </w:r>
          </w:p>
          <w:p w:rsidR="00C66408" w:rsidRPr="00EF543C" w:rsidRDefault="00C66408" w:rsidP="00C66408">
            <w:pPr>
              <w:pStyle w:val="iRBullet"/>
              <w:tabs>
                <w:tab w:val="clear" w:pos="180"/>
                <w:tab w:val="num" w:pos="-3780"/>
              </w:tabs>
              <w:ind w:left="360" w:hanging="270"/>
              <w:rPr>
                <w:rFonts w:ascii="Calibri" w:hAnsi="Calibri" w:cs="Calibri"/>
                <w:sz w:val="22"/>
                <w:szCs w:val="22"/>
              </w:rPr>
            </w:pPr>
            <w:r w:rsidRPr="00EF543C">
              <w:rPr>
                <w:rFonts w:ascii="Calibri" w:hAnsi="Calibri" w:cs="Calibri"/>
                <w:sz w:val="22"/>
                <w:szCs w:val="22"/>
              </w:rPr>
              <w:t>Key Point  Number 3</w:t>
            </w:r>
          </w:p>
          <w:p w:rsidR="00C66408" w:rsidRPr="00EF543C" w:rsidRDefault="00C66408" w:rsidP="00C66408">
            <w:pPr>
              <w:rPr>
                <w:rFonts w:ascii="Calibri" w:hAnsi="Calibri" w:cs="Calibri"/>
                <w:sz w:val="22"/>
              </w:rPr>
            </w:pPr>
          </w:p>
          <w:p w:rsidR="00C66408" w:rsidRPr="00EF543C" w:rsidRDefault="00C66408" w:rsidP="00F11E8F">
            <w:pPr>
              <w:rPr>
                <w:rFonts w:ascii="Calibri" w:hAnsi="Calibri" w:cs="Calibri"/>
                <w:sz w:val="22"/>
              </w:rPr>
            </w:pPr>
            <w:r w:rsidRPr="00EF543C">
              <w:rPr>
                <w:rFonts w:ascii="Calibri" w:hAnsi="Calibri" w:cs="Calibri"/>
                <w:b/>
                <w:bCs/>
                <w:sz w:val="22"/>
                <w:szCs w:val="22"/>
              </w:rPr>
              <w:t>Some normal text, some normal text, some normal text, some normal</w:t>
            </w:r>
            <w:r w:rsidRPr="00EF543C">
              <w:rPr>
                <w:rFonts w:ascii="Calibri" w:hAnsi="Calibri" w:cs="Calibri"/>
                <w:sz w:val="22"/>
                <w:szCs w:val="22"/>
              </w:rPr>
              <w:t xml:space="preserve">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w:t>
            </w:r>
          </w:p>
          <w:p w:rsidR="00C66408" w:rsidRPr="00EF543C" w:rsidRDefault="00C66408" w:rsidP="00F11E8F">
            <w:pPr>
              <w:rPr>
                <w:rFonts w:ascii="Calibri" w:hAnsi="Calibri" w:cs="Calibri"/>
                <w:sz w:val="22"/>
              </w:rPr>
            </w:pPr>
          </w:p>
          <w:p w:rsidR="00C66408" w:rsidRPr="00EF543C" w:rsidRDefault="00C66408" w:rsidP="00F11E8F">
            <w:pPr>
              <w:rPr>
                <w:rFonts w:ascii="Calibri" w:hAnsi="Calibri" w:cs="Calibri"/>
                <w:sz w:val="22"/>
              </w:rPr>
            </w:pPr>
            <w:r w:rsidRPr="00EF543C">
              <w:rPr>
                <w:rFonts w:ascii="Calibri" w:hAnsi="Calibri" w:cs="Calibri"/>
                <w:b/>
                <w:bCs/>
                <w:sz w:val="22"/>
                <w:szCs w:val="22"/>
              </w:rPr>
              <w:t>Some normal text, some normal text, some normal text, normal text,</w:t>
            </w:r>
            <w:r w:rsidRPr="00EF543C">
              <w:rPr>
                <w:rFonts w:ascii="Calibri" w:hAnsi="Calibri" w:cs="Calibri"/>
                <w:sz w:val="22"/>
                <w:szCs w:val="22"/>
              </w:rPr>
              <w:t xml:space="preserve">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w:t>
            </w:r>
          </w:p>
          <w:p w:rsidR="00C66408" w:rsidRPr="00EF543C" w:rsidRDefault="00C66408" w:rsidP="00F11E8F">
            <w:pPr>
              <w:rPr>
                <w:rFonts w:ascii="Calibri" w:hAnsi="Calibri" w:cs="Calibri"/>
                <w:sz w:val="22"/>
              </w:rPr>
            </w:pPr>
          </w:p>
          <w:p w:rsidR="00C66408" w:rsidRPr="00EF543C" w:rsidRDefault="00C66408" w:rsidP="00F11E8F">
            <w:pPr>
              <w:rPr>
                <w:rFonts w:ascii="Calibri" w:hAnsi="Calibri" w:cs="Calibri"/>
                <w:sz w:val="22"/>
              </w:rPr>
            </w:pPr>
            <w:r w:rsidRPr="00EF543C">
              <w:rPr>
                <w:rFonts w:ascii="Calibri" w:hAnsi="Calibri" w:cs="Calibri"/>
                <w:b/>
                <w:bCs/>
                <w:sz w:val="22"/>
                <w:szCs w:val="22"/>
              </w:rPr>
              <w:t>Some normal text, some normal text, some normal text, some normal</w:t>
            </w:r>
            <w:r w:rsidRPr="00EF543C">
              <w:rPr>
                <w:rFonts w:ascii="Calibri" w:hAnsi="Calibri" w:cs="Calibri"/>
                <w:sz w:val="22"/>
                <w:szCs w:val="22"/>
              </w:rPr>
              <w:t xml:space="preserve">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C66408" w:rsidRPr="00EF543C" w:rsidRDefault="00C66408" w:rsidP="00F11E8F">
            <w:pPr>
              <w:rPr>
                <w:rFonts w:ascii="Calibri" w:hAnsi="Calibri" w:cs="Calibri"/>
                <w:sz w:val="22"/>
              </w:rPr>
            </w:pPr>
          </w:p>
          <w:p w:rsidR="00C66408" w:rsidRPr="00EF543C" w:rsidRDefault="00C66408" w:rsidP="00F11E8F">
            <w:pPr>
              <w:rPr>
                <w:rFonts w:ascii="Calibri" w:hAnsi="Calibri" w:cs="Calibri"/>
                <w:sz w:val="22"/>
              </w:rPr>
            </w:pPr>
            <w:r w:rsidRPr="00EF543C">
              <w:rPr>
                <w:rFonts w:ascii="Calibri" w:hAnsi="Calibri" w:cs="Calibri"/>
                <w:b/>
                <w:bCs/>
                <w:sz w:val="22"/>
                <w:szCs w:val="22"/>
              </w:rPr>
              <w:t>Some normal text, some normal text, some normal text, some normal</w:t>
            </w:r>
            <w:r w:rsidRPr="00EF543C">
              <w:rPr>
                <w:rFonts w:ascii="Calibri" w:hAnsi="Calibri" w:cs="Calibri"/>
                <w:sz w:val="22"/>
                <w:szCs w:val="22"/>
              </w:rPr>
              <w:t xml:space="preserve">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48211F" w:rsidRDefault="00F72E6F" w:rsidP="0048211F">
            <w:pPr>
              <w:jc w:val="both"/>
              <w:rPr>
                <w:rFonts w:ascii="Verdana" w:hAnsi="Verdana" w:cs="Calibri"/>
                <w:szCs w:val="18"/>
              </w:rPr>
            </w:pPr>
          </w:p>
        </w:tc>
        <w:tc>
          <w:tcPr>
            <w:tcW w:w="236" w:type="dxa"/>
          </w:tcPr>
          <w:p w:rsidR="00F72E6F" w:rsidRPr="00AA3236" w:rsidRDefault="00F72E6F" w:rsidP="00F443E2">
            <w:pPr>
              <w:rPr>
                <w:rFonts w:ascii="Verdana" w:hAnsi="Verdana" w:cs="Calibri"/>
              </w:rPr>
            </w:pPr>
          </w:p>
        </w:tc>
        <w:tc>
          <w:tcPr>
            <w:tcW w:w="3325" w:type="dxa"/>
          </w:tcPr>
          <w:p w:rsidR="00F72E6F" w:rsidRPr="00C66408" w:rsidRDefault="00F72E6F" w:rsidP="00F443E2">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3109"/>
            </w:tblGrid>
            <w:tr w:rsidR="003E46AC" w:rsidRPr="00C66408" w:rsidTr="00CB2144">
              <w:tc>
                <w:tcPr>
                  <w:tcW w:w="5000" w:type="pct"/>
                  <w:shd w:val="clear" w:color="auto" w:fill="E6E9F0"/>
                  <w:vAlign w:val="center"/>
                </w:tcPr>
                <w:p w:rsidR="003E46AC" w:rsidRPr="00C66408" w:rsidRDefault="003E46AC" w:rsidP="003E46AC">
                  <w:pPr>
                    <w:spacing w:line="240" w:lineRule="exact"/>
                    <w:rPr>
                      <w:rFonts w:asciiTheme="minorHAnsi" w:hAnsiTheme="minorHAnsi" w:cstheme="minorHAnsi"/>
                      <w:sz w:val="20"/>
                      <w:szCs w:val="20"/>
                    </w:rPr>
                  </w:pPr>
                  <w:r w:rsidRPr="00C66408">
                    <w:rPr>
                      <w:rFonts w:asciiTheme="minorHAnsi" w:hAnsiTheme="minorHAnsi" w:cstheme="minorHAnsi"/>
                      <w:color w:val="4D6693"/>
                      <w:sz w:val="20"/>
                      <w:szCs w:val="20"/>
                    </w:rPr>
                    <w:t>Dubai Transactions Price Index</w:t>
                  </w:r>
                </w:p>
              </w:tc>
            </w:tr>
            <w:tr w:rsidR="003E46AC" w:rsidRPr="00C66408" w:rsidTr="00CB2144">
              <w:tc>
                <w:tcPr>
                  <w:tcW w:w="5000" w:type="pct"/>
                  <w:shd w:val="clear" w:color="auto" w:fill="auto"/>
                  <w:vAlign w:val="center"/>
                </w:tcPr>
                <w:p w:rsidR="003E46AC" w:rsidRPr="00C66408" w:rsidRDefault="003E46AC" w:rsidP="00CB2144">
                  <w:pPr>
                    <w:rPr>
                      <w:rFonts w:asciiTheme="minorHAnsi" w:hAnsiTheme="minorHAnsi" w:cstheme="minorHAnsi"/>
                      <w:sz w:val="4"/>
                      <w:szCs w:val="4"/>
                      <w:highlight w:val="yellow"/>
                    </w:rPr>
                  </w:pPr>
                </w:p>
              </w:tc>
            </w:tr>
            <w:tr w:rsidR="003E46AC" w:rsidRPr="00C66408" w:rsidTr="00CB2144">
              <w:tc>
                <w:tcPr>
                  <w:tcW w:w="5000" w:type="pct"/>
                  <w:vAlign w:val="center"/>
                </w:tcPr>
                <w:p w:rsidR="003E46AC" w:rsidRPr="00C66408" w:rsidRDefault="003E46AC" w:rsidP="00194DF3">
                  <w:pPr>
                    <w:rPr>
                      <w:rFonts w:asciiTheme="minorHAnsi" w:hAnsiTheme="minorHAnsi" w:cstheme="minorHAnsi"/>
                      <w:noProof/>
                    </w:rPr>
                  </w:pPr>
                  <w:r w:rsidRPr="00C66408">
                    <w:rPr>
                      <w:rFonts w:asciiTheme="minorHAnsi" w:hAnsiTheme="minorHAnsi" w:cstheme="minorHAnsi"/>
                      <w:noProof/>
                    </w:rPr>
                    <w:drawing>
                      <wp:inline distT="0" distB="0" distL="0" distR="0">
                        <wp:extent cx="1855961" cy="1068308"/>
                        <wp:effectExtent l="0" t="0" r="0" b="0"/>
                        <wp:docPr id="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94DF3" w:rsidRPr="00C66408" w:rsidRDefault="00194DF3" w:rsidP="00194DF3">
                  <w:pPr>
                    <w:rPr>
                      <w:rFonts w:asciiTheme="minorHAnsi" w:hAnsiTheme="minorHAnsi" w:cstheme="minorHAnsi"/>
                      <w:noProof/>
                      <w:sz w:val="8"/>
                      <w:szCs w:val="14"/>
                    </w:rPr>
                  </w:pPr>
                  <w:r w:rsidRPr="00C66408">
                    <w:rPr>
                      <w:rFonts w:asciiTheme="minorHAnsi" w:hAnsiTheme="minorHAnsi" w:cstheme="minorHAnsi"/>
                      <w:noProof/>
                    </w:rPr>
                    <w:softHyphen/>
                  </w:r>
                  <w:r w:rsidRPr="00C66408">
                    <w:rPr>
                      <w:rFonts w:asciiTheme="minorHAnsi" w:hAnsiTheme="minorHAnsi" w:cstheme="minorHAnsi"/>
                      <w:noProof/>
                    </w:rPr>
                    <w:softHyphen/>
                  </w:r>
                  <w:r w:rsidRPr="00C66408">
                    <w:rPr>
                      <w:rFonts w:asciiTheme="minorHAnsi" w:hAnsiTheme="minorHAnsi" w:cstheme="minorHAnsi"/>
                      <w:noProof/>
                    </w:rPr>
                    <w:softHyphen/>
                  </w:r>
                </w:p>
              </w:tc>
            </w:tr>
          </w:tbl>
          <w:p w:rsidR="003E46AC" w:rsidRPr="00C66408" w:rsidRDefault="003E46AC" w:rsidP="003E46AC">
            <w:pPr>
              <w:rPr>
                <w:rFonts w:asciiTheme="minorHAnsi" w:hAnsiTheme="minorHAnsi" w:cstheme="minorHAnsi"/>
                <w:sz w:val="16"/>
                <w:szCs w:val="16"/>
              </w:rPr>
            </w:pPr>
            <w:r w:rsidRPr="00C66408">
              <w:rPr>
                <w:rFonts w:asciiTheme="minorHAnsi" w:hAnsiTheme="minorHAnsi" w:cstheme="minorHAnsi"/>
                <w:sz w:val="16"/>
                <w:szCs w:val="16"/>
              </w:rPr>
              <w:t>Source: HC Research</w:t>
            </w:r>
          </w:p>
          <w:p w:rsidR="003E46AC" w:rsidRPr="00C66408" w:rsidRDefault="003E46AC" w:rsidP="003E46AC">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3109"/>
            </w:tblGrid>
            <w:tr w:rsidR="003E46AC" w:rsidRPr="00C66408" w:rsidTr="00CB2144">
              <w:tc>
                <w:tcPr>
                  <w:tcW w:w="5000" w:type="pct"/>
                  <w:shd w:val="clear" w:color="auto" w:fill="E6E9F0"/>
                  <w:vAlign w:val="center"/>
                </w:tcPr>
                <w:p w:rsidR="003E46AC" w:rsidRPr="00C66408" w:rsidRDefault="003E46AC" w:rsidP="003E46AC">
                  <w:pPr>
                    <w:spacing w:line="240" w:lineRule="exact"/>
                    <w:rPr>
                      <w:rFonts w:asciiTheme="minorHAnsi" w:hAnsiTheme="minorHAnsi" w:cstheme="minorHAnsi"/>
                      <w:color w:val="4D6693"/>
                      <w:sz w:val="20"/>
                      <w:szCs w:val="20"/>
                    </w:rPr>
                  </w:pPr>
                  <w:r w:rsidRPr="00C66408">
                    <w:rPr>
                      <w:rFonts w:asciiTheme="minorHAnsi" w:hAnsiTheme="minorHAnsi" w:cstheme="minorHAnsi"/>
                      <w:color w:val="4D6693"/>
                      <w:sz w:val="20"/>
                      <w:szCs w:val="20"/>
                    </w:rPr>
                    <w:t>Mortgages as a % of Total Trans.</w:t>
                  </w:r>
                </w:p>
              </w:tc>
            </w:tr>
            <w:tr w:rsidR="003E46AC" w:rsidRPr="00C66408" w:rsidTr="00CB2144">
              <w:tc>
                <w:tcPr>
                  <w:tcW w:w="5000" w:type="pct"/>
                  <w:shd w:val="clear" w:color="auto" w:fill="auto"/>
                  <w:vAlign w:val="center"/>
                </w:tcPr>
                <w:p w:rsidR="003E46AC" w:rsidRPr="00C66408" w:rsidRDefault="003E46AC" w:rsidP="00CB2144">
                  <w:pPr>
                    <w:rPr>
                      <w:rFonts w:asciiTheme="minorHAnsi" w:hAnsiTheme="minorHAnsi" w:cstheme="minorHAnsi"/>
                      <w:sz w:val="4"/>
                      <w:szCs w:val="4"/>
                      <w:highlight w:val="yellow"/>
                    </w:rPr>
                  </w:pPr>
                </w:p>
              </w:tc>
            </w:tr>
            <w:tr w:rsidR="003E46AC" w:rsidRPr="00C66408" w:rsidTr="00CB2144">
              <w:tc>
                <w:tcPr>
                  <w:tcW w:w="5000" w:type="pct"/>
                  <w:vAlign w:val="center"/>
                </w:tcPr>
                <w:p w:rsidR="003E46AC" w:rsidRPr="00C66408" w:rsidRDefault="003E46AC" w:rsidP="00CB2144">
                  <w:pPr>
                    <w:rPr>
                      <w:rFonts w:asciiTheme="minorHAnsi" w:hAnsiTheme="minorHAnsi" w:cstheme="minorHAnsi"/>
                      <w:lang w:bidi="ar-EG"/>
                    </w:rPr>
                  </w:pPr>
                  <w:r w:rsidRPr="00C66408">
                    <w:rPr>
                      <w:rFonts w:asciiTheme="minorHAnsi" w:hAnsiTheme="minorHAnsi" w:cstheme="minorHAnsi"/>
                      <w:noProof/>
                    </w:rPr>
                    <w:drawing>
                      <wp:inline distT="0" distB="0" distL="0" distR="0">
                        <wp:extent cx="1855961" cy="1068309"/>
                        <wp:effectExtent l="0" t="0" r="0" b="0"/>
                        <wp:docPr id="2"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194DF3" w:rsidRPr="00C66408" w:rsidRDefault="00194DF3" w:rsidP="003E46AC">
            <w:pPr>
              <w:rPr>
                <w:rFonts w:asciiTheme="minorHAnsi" w:hAnsiTheme="minorHAnsi" w:cstheme="minorHAnsi"/>
                <w:sz w:val="4"/>
                <w:szCs w:val="4"/>
              </w:rPr>
            </w:pPr>
          </w:p>
          <w:p w:rsidR="003E46AC" w:rsidRPr="00C66408" w:rsidRDefault="003E46AC" w:rsidP="003E46AC">
            <w:pPr>
              <w:rPr>
                <w:rFonts w:asciiTheme="minorHAnsi" w:hAnsiTheme="minorHAnsi" w:cstheme="minorHAnsi"/>
                <w:sz w:val="16"/>
                <w:szCs w:val="16"/>
              </w:rPr>
            </w:pPr>
            <w:r w:rsidRPr="00C66408">
              <w:rPr>
                <w:rFonts w:asciiTheme="minorHAnsi" w:hAnsiTheme="minorHAnsi" w:cstheme="minorHAnsi"/>
                <w:sz w:val="16"/>
                <w:szCs w:val="16"/>
              </w:rPr>
              <w:t>Source: HC Research</w:t>
            </w:r>
          </w:p>
          <w:p w:rsidR="003E46AC" w:rsidRPr="00C66408" w:rsidRDefault="003E46AC" w:rsidP="003E46AC">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3109"/>
            </w:tblGrid>
            <w:tr w:rsidR="003E46AC" w:rsidRPr="00C66408" w:rsidTr="00CB2144">
              <w:tc>
                <w:tcPr>
                  <w:tcW w:w="5000" w:type="pct"/>
                  <w:shd w:val="clear" w:color="auto" w:fill="E6E9F0"/>
                  <w:vAlign w:val="center"/>
                </w:tcPr>
                <w:p w:rsidR="003E46AC" w:rsidRPr="00C66408" w:rsidRDefault="003E46AC" w:rsidP="00CB2144">
                  <w:pPr>
                    <w:spacing w:line="240" w:lineRule="exact"/>
                    <w:rPr>
                      <w:rFonts w:asciiTheme="minorHAnsi" w:hAnsiTheme="minorHAnsi" w:cstheme="minorHAnsi"/>
                      <w:sz w:val="20"/>
                      <w:szCs w:val="20"/>
                    </w:rPr>
                  </w:pPr>
                  <w:r w:rsidRPr="00C66408">
                    <w:rPr>
                      <w:rFonts w:asciiTheme="minorHAnsi" w:hAnsiTheme="minorHAnsi" w:cstheme="minorHAnsi"/>
                      <w:color w:val="4D6693"/>
                      <w:sz w:val="20"/>
                      <w:szCs w:val="20"/>
                    </w:rPr>
                    <w:t>Take-up Rate</w:t>
                  </w:r>
                </w:p>
              </w:tc>
            </w:tr>
            <w:tr w:rsidR="003E46AC" w:rsidRPr="00C66408" w:rsidTr="00CB2144">
              <w:tc>
                <w:tcPr>
                  <w:tcW w:w="5000" w:type="pct"/>
                  <w:shd w:val="clear" w:color="auto" w:fill="auto"/>
                  <w:vAlign w:val="center"/>
                </w:tcPr>
                <w:p w:rsidR="003E46AC" w:rsidRPr="00C66408" w:rsidRDefault="003E46AC" w:rsidP="00CB2144">
                  <w:pPr>
                    <w:rPr>
                      <w:rFonts w:asciiTheme="minorHAnsi" w:hAnsiTheme="minorHAnsi" w:cstheme="minorHAnsi"/>
                      <w:sz w:val="4"/>
                      <w:szCs w:val="4"/>
                      <w:highlight w:val="yellow"/>
                    </w:rPr>
                  </w:pPr>
                </w:p>
              </w:tc>
            </w:tr>
            <w:tr w:rsidR="003E46AC" w:rsidRPr="00C66408" w:rsidTr="00CB2144">
              <w:tc>
                <w:tcPr>
                  <w:tcW w:w="5000" w:type="pct"/>
                  <w:vAlign w:val="center"/>
                </w:tcPr>
                <w:p w:rsidR="003E46AC" w:rsidRPr="00C66408" w:rsidRDefault="003E46AC" w:rsidP="003E46AC">
                  <w:pPr>
                    <w:rPr>
                      <w:rFonts w:asciiTheme="minorHAnsi" w:hAnsiTheme="minorHAnsi" w:cstheme="minorHAnsi"/>
                      <w:lang w:bidi="ar-EG"/>
                    </w:rPr>
                  </w:pPr>
                  <w:r w:rsidRPr="00C66408">
                    <w:rPr>
                      <w:rFonts w:asciiTheme="minorHAnsi" w:hAnsiTheme="minorHAnsi" w:cstheme="minorHAnsi"/>
                      <w:noProof/>
                    </w:rPr>
                    <w:drawing>
                      <wp:inline distT="0" distB="0" distL="0" distR="0">
                        <wp:extent cx="1855961" cy="1059255"/>
                        <wp:effectExtent l="0" t="0" r="0" b="0"/>
                        <wp:docPr id="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194DF3" w:rsidRPr="00C66408" w:rsidRDefault="00194DF3" w:rsidP="003E46AC">
            <w:pPr>
              <w:rPr>
                <w:rFonts w:asciiTheme="minorHAnsi" w:hAnsiTheme="minorHAnsi" w:cstheme="minorHAnsi"/>
                <w:sz w:val="4"/>
                <w:szCs w:val="4"/>
              </w:rPr>
            </w:pPr>
          </w:p>
          <w:p w:rsidR="003E46AC" w:rsidRPr="00C66408" w:rsidRDefault="003E46AC" w:rsidP="003E46AC">
            <w:pPr>
              <w:rPr>
                <w:rFonts w:asciiTheme="minorHAnsi" w:hAnsiTheme="minorHAnsi" w:cstheme="minorHAnsi"/>
                <w:sz w:val="16"/>
                <w:szCs w:val="16"/>
              </w:rPr>
            </w:pPr>
            <w:r w:rsidRPr="00C66408">
              <w:rPr>
                <w:rFonts w:asciiTheme="minorHAnsi" w:hAnsiTheme="minorHAnsi" w:cstheme="minorHAnsi"/>
                <w:sz w:val="16"/>
                <w:szCs w:val="16"/>
              </w:rPr>
              <w:t>Source: HC Research</w:t>
            </w:r>
          </w:p>
          <w:p w:rsidR="00F72E6F" w:rsidRDefault="00F72E6F" w:rsidP="00F443E2">
            <w:pPr>
              <w:rPr>
                <w:rFonts w:ascii="Verdana" w:hAnsi="Verdana" w:cs="Calibri"/>
              </w:rPr>
            </w:pPr>
          </w:p>
          <w:p w:rsidR="00F72E6F" w:rsidRDefault="00F72E6F" w:rsidP="00F443E2">
            <w:pPr>
              <w:rPr>
                <w:rFonts w:ascii="Verdana" w:hAnsi="Verdana" w:cs="Calibri"/>
              </w:rPr>
            </w:pPr>
          </w:p>
          <w:p w:rsidR="00F72E6F" w:rsidRDefault="00F72E6F" w:rsidP="00F443E2">
            <w:pPr>
              <w:rPr>
                <w:rFonts w:ascii="Verdana" w:hAnsi="Verdana" w:cs="Calibri"/>
              </w:rPr>
            </w:pPr>
          </w:p>
          <w:p w:rsidR="00F72E6F" w:rsidRDefault="00F72E6F" w:rsidP="00F443E2">
            <w:pPr>
              <w:rPr>
                <w:rFonts w:ascii="Verdana" w:hAnsi="Verdana" w:cs="Calibri"/>
              </w:rPr>
            </w:pPr>
          </w:p>
          <w:p w:rsidR="00F72E6F" w:rsidRDefault="00F72E6F" w:rsidP="00F443E2">
            <w:pPr>
              <w:rPr>
                <w:rFonts w:ascii="Verdana" w:hAnsi="Verdana" w:cs="Calibri"/>
              </w:rPr>
            </w:pPr>
          </w:p>
          <w:p w:rsidR="00F72E6F" w:rsidRDefault="00F72E6F" w:rsidP="00F443E2">
            <w:pPr>
              <w:rPr>
                <w:rFonts w:ascii="Verdana" w:hAnsi="Verdana" w:cs="Calibri"/>
              </w:rPr>
            </w:pPr>
          </w:p>
          <w:p w:rsidR="00F72E6F" w:rsidRDefault="00F72E6F" w:rsidP="00F443E2">
            <w:pPr>
              <w:rPr>
                <w:rFonts w:ascii="Verdana" w:hAnsi="Verdana" w:cs="Calibri"/>
              </w:rPr>
            </w:pPr>
          </w:p>
          <w:p w:rsidR="00F72E6F" w:rsidRDefault="00F72E6F" w:rsidP="00F443E2">
            <w:pPr>
              <w:rPr>
                <w:rFonts w:ascii="Verdana" w:hAnsi="Verdana" w:cs="Calibri"/>
              </w:rPr>
            </w:pPr>
          </w:p>
          <w:p w:rsidR="00827543" w:rsidRDefault="00827543" w:rsidP="00F443E2">
            <w:pPr>
              <w:rPr>
                <w:rFonts w:ascii="Verdana" w:hAnsi="Verdana" w:cs="Calibri"/>
              </w:rPr>
            </w:pPr>
          </w:p>
          <w:p w:rsidR="00827543" w:rsidRPr="00EF543C" w:rsidRDefault="00827543" w:rsidP="00F443E2">
            <w:pPr>
              <w:rPr>
                <w:rFonts w:ascii="Verdana" w:hAnsi="Verdana" w:cs="Calibri"/>
                <w:sz w:val="22"/>
              </w:rPr>
            </w:pPr>
          </w:p>
          <w:p w:rsidR="00827543" w:rsidRPr="00EF543C" w:rsidRDefault="00827543" w:rsidP="00827543">
            <w:pPr>
              <w:jc w:val="right"/>
              <w:rPr>
                <w:rFonts w:ascii="Calibri" w:hAnsi="Calibri" w:cs="Calibri"/>
                <w:b/>
                <w:bCs/>
                <w:color w:val="000000" w:themeColor="text1"/>
                <w:sz w:val="22"/>
              </w:rPr>
            </w:pPr>
            <w:r w:rsidRPr="00EF543C">
              <w:rPr>
                <w:rFonts w:ascii="Calibri" w:hAnsi="Calibri" w:cs="Calibri"/>
                <w:b/>
                <w:bCs/>
                <w:color w:val="000000" w:themeColor="text1"/>
                <w:sz w:val="22"/>
                <w:szCs w:val="22"/>
              </w:rPr>
              <w:t>Contact Name</w:t>
            </w:r>
          </w:p>
          <w:p w:rsidR="00827543" w:rsidRPr="00EF543C" w:rsidRDefault="00827543" w:rsidP="00827543">
            <w:pPr>
              <w:jc w:val="right"/>
              <w:rPr>
                <w:rFonts w:ascii="Calibri" w:hAnsi="Calibri" w:cs="Calibri"/>
                <w:color w:val="000000" w:themeColor="text1"/>
                <w:sz w:val="22"/>
              </w:rPr>
            </w:pPr>
            <w:r w:rsidRPr="00EF543C">
              <w:rPr>
                <w:rFonts w:ascii="Calibri" w:hAnsi="Calibri" w:cs="Calibri"/>
                <w:color w:val="000000" w:themeColor="text1"/>
                <w:sz w:val="22"/>
                <w:szCs w:val="22"/>
              </w:rPr>
              <w:t>+1234567890</w:t>
            </w:r>
          </w:p>
          <w:p w:rsidR="00827543" w:rsidRPr="00EF543C" w:rsidRDefault="00827543" w:rsidP="00827543">
            <w:pPr>
              <w:jc w:val="right"/>
              <w:rPr>
                <w:rFonts w:ascii="Calibri" w:hAnsi="Calibri" w:cs="Calibri"/>
                <w:color w:val="000000" w:themeColor="text1"/>
                <w:sz w:val="22"/>
              </w:rPr>
            </w:pPr>
            <w:r w:rsidRPr="00EF543C">
              <w:rPr>
                <w:rFonts w:ascii="Calibri" w:hAnsi="Calibri" w:cs="Calibri"/>
                <w:color w:val="000000" w:themeColor="text1"/>
                <w:sz w:val="22"/>
                <w:szCs w:val="22"/>
              </w:rPr>
              <w:t>contact@hc-si.com</w:t>
            </w:r>
          </w:p>
          <w:p w:rsidR="00827543" w:rsidRPr="00EF543C" w:rsidRDefault="00827543" w:rsidP="00827543">
            <w:pPr>
              <w:jc w:val="right"/>
              <w:rPr>
                <w:rFonts w:ascii="Calibri" w:hAnsi="Calibri" w:cs="Calibri"/>
                <w:color w:val="000000" w:themeColor="text1"/>
                <w:sz w:val="22"/>
              </w:rPr>
            </w:pPr>
          </w:p>
          <w:p w:rsidR="00827543" w:rsidRPr="00EF543C" w:rsidRDefault="00827543" w:rsidP="00827543">
            <w:pPr>
              <w:jc w:val="right"/>
              <w:rPr>
                <w:rFonts w:ascii="Calibri" w:hAnsi="Calibri" w:cs="Calibri"/>
                <w:b/>
                <w:bCs/>
                <w:color w:val="000000" w:themeColor="text1"/>
                <w:sz w:val="22"/>
              </w:rPr>
            </w:pPr>
            <w:r w:rsidRPr="00EF543C">
              <w:rPr>
                <w:rFonts w:ascii="Calibri" w:hAnsi="Calibri" w:cs="Calibri"/>
                <w:b/>
                <w:bCs/>
                <w:color w:val="000000" w:themeColor="text1"/>
                <w:sz w:val="22"/>
                <w:szCs w:val="22"/>
              </w:rPr>
              <w:t>Contact Name</w:t>
            </w:r>
          </w:p>
          <w:p w:rsidR="00827543" w:rsidRPr="00EF543C" w:rsidRDefault="00827543" w:rsidP="00827543">
            <w:pPr>
              <w:jc w:val="right"/>
              <w:rPr>
                <w:rFonts w:ascii="Calibri" w:hAnsi="Calibri" w:cs="Calibri"/>
                <w:color w:val="000000" w:themeColor="text1"/>
                <w:sz w:val="22"/>
              </w:rPr>
            </w:pPr>
            <w:r w:rsidRPr="00EF543C">
              <w:rPr>
                <w:rFonts w:ascii="Calibri" w:hAnsi="Calibri" w:cs="Calibri"/>
                <w:color w:val="000000" w:themeColor="text1"/>
                <w:sz w:val="22"/>
                <w:szCs w:val="22"/>
              </w:rPr>
              <w:t>+1234567890</w:t>
            </w:r>
          </w:p>
          <w:p w:rsidR="00827543" w:rsidRPr="00EF543C" w:rsidRDefault="00827543" w:rsidP="00827543">
            <w:pPr>
              <w:jc w:val="right"/>
              <w:rPr>
                <w:rFonts w:ascii="Calibri" w:hAnsi="Calibri" w:cs="Calibri"/>
                <w:color w:val="000000" w:themeColor="text1"/>
                <w:sz w:val="22"/>
              </w:rPr>
            </w:pPr>
            <w:r w:rsidRPr="00EF543C">
              <w:rPr>
                <w:rFonts w:ascii="Calibri" w:hAnsi="Calibri" w:cs="Calibri"/>
                <w:color w:val="000000" w:themeColor="text1"/>
                <w:sz w:val="22"/>
                <w:szCs w:val="22"/>
              </w:rPr>
              <w:t>contact@hc-si.com</w:t>
            </w:r>
          </w:p>
          <w:p w:rsidR="00827543" w:rsidRDefault="00827543" w:rsidP="00827543">
            <w:pPr>
              <w:jc w:val="right"/>
              <w:rPr>
                <w:rFonts w:ascii="Calibri" w:hAnsi="Calibri" w:cs="Calibri"/>
                <w:color w:val="000000" w:themeColor="text1"/>
                <w:sz w:val="21"/>
                <w:szCs w:val="21"/>
              </w:rPr>
            </w:pPr>
          </w:p>
          <w:p w:rsidR="00827543" w:rsidRDefault="00827543" w:rsidP="00827543">
            <w:pPr>
              <w:jc w:val="right"/>
              <w:rPr>
                <w:rFonts w:ascii="Calibri" w:hAnsi="Calibri" w:cs="Calibri"/>
                <w:color w:val="000000" w:themeColor="text1"/>
              </w:rPr>
            </w:pPr>
          </w:p>
          <w:p w:rsidR="00F72E6F" w:rsidRPr="00AA3236" w:rsidRDefault="00827543" w:rsidP="00827543">
            <w:pPr>
              <w:pStyle w:val="iRDisclaimerRef"/>
              <w:jc w:val="right"/>
              <w:rPr>
                <w:rFonts w:ascii="Verdana" w:hAnsi="Verdana" w:cs="Calibri"/>
                <w:color w:val="auto"/>
              </w:rPr>
            </w:pPr>
            <w:r>
              <w:rPr>
                <w:rFonts w:ascii="Calibri" w:hAnsi="Calibri" w:cs="Calibri"/>
                <w:color w:val="000000" w:themeColor="text1"/>
                <w:sz w:val="16"/>
                <w:szCs w:val="16"/>
              </w:rPr>
              <w:t>Disclaimer: See page X</w:t>
            </w:r>
          </w:p>
        </w:tc>
      </w:tr>
    </w:tbl>
    <w:p w:rsidR="00AA436C" w:rsidRDefault="00AA436C" w:rsidP="0048211F">
      <w:pPr>
        <w:ind w:left="360"/>
      </w:pPr>
    </w:p>
    <w:p w:rsidR="008C00E7" w:rsidRDefault="008C00E7" w:rsidP="0048211F">
      <w:pPr>
        <w:ind w:left="360"/>
      </w:pPr>
    </w:p>
    <w:p w:rsidR="008C00E7" w:rsidRDefault="008C00E7" w:rsidP="0048211F">
      <w:pPr>
        <w:ind w:left="360"/>
      </w:pPr>
    </w:p>
    <w:sectPr w:rsidR="008C00E7" w:rsidSect="00DC43D4">
      <w:headerReference w:type="default" r:id="rId10"/>
      <w:footerReference w:type="default" r:id="rId11"/>
      <w:headerReference w:type="first" r:id="rId12"/>
      <w:footerReference w:type="first" r:id="rId13"/>
      <w:pgSz w:w="11909" w:h="16834" w:code="9"/>
      <w:pgMar w:top="720" w:right="1019"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DEB" w:rsidRDefault="00CC0DEB" w:rsidP="00F72E6F">
      <w:r>
        <w:separator/>
      </w:r>
    </w:p>
  </w:endnote>
  <w:endnote w:type="continuationSeparator" w:id="0">
    <w:p w:rsidR="00CC0DEB" w:rsidRDefault="00CC0DEB" w:rsidP="00F72E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90"/>
      <w:gridCol w:w="4596"/>
      <w:gridCol w:w="400"/>
    </w:tblGrid>
    <w:tr w:rsidR="009E703A" w:rsidRPr="008C00E7" w:rsidTr="000536BE">
      <w:tc>
        <w:tcPr>
          <w:tcW w:w="7200" w:type="dxa"/>
          <w:shd w:val="clear" w:color="auto" w:fill="012464"/>
          <w:vAlign w:val="center"/>
        </w:tcPr>
        <w:p w:rsidR="009E703A" w:rsidRPr="008C00E7" w:rsidRDefault="008C00E7" w:rsidP="000536BE">
          <w:pPr>
            <w:pStyle w:val="Footer"/>
            <w:rPr>
              <w:rFonts w:asciiTheme="minorHAnsi" w:hAnsiTheme="minorHAnsi" w:cstheme="minorHAnsi"/>
              <w:sz w:val="20"/>
              <w:szCs w:val="20"/>
            </w:rPr>
          </w:pPr>
          <w:r w:rsidRPr="008C00E7">
            <w:rPr>
              <w:rFonts w:asciiTheme="minorHAnsi" w:hAnsiTheme="minorHAnsi" w:cstheme="minorHAnsi"/>
              <w:sz w:val="20"/>
              <w:szCs w:val="20"/>
            </w:rPr>
            <w:t>MENA Real Estate</w:t>
          </w:r>
        </w:p>
      </w:tc>
      <w:tc>
        <w:tcPr>
          <w:tcW w:w="4561" w:type="dxa"/>
          <w:vAlign w:val="center"/>
        </w:tcPr>
        <w:p w:rsidR="009E703A" w:rsidRPr="008C00E7" w:rsidRDefault="00AF7B61" w:rsidP="000536BE">
          <w:pPr>
            <w:pStyle w:val="Footer"/>
            <w:jc w:val="center"/>
            <w:rPr>
              <w:rFonts w:asciiTheme="minorHAnsi" w:hAnsiTheme="minorHAnsi" w:cstheme="minorHAnsi"/>
              <w:sz w:val="20"/>
              <w:szCs w:val="20"/>
            </w:rPr>
          </w:pPr>
          <w:r w:rsidRPr="008C00E7">
            <w:rPr>
              <w:rFonts w:asciiTheme="minorHAnsi" w:hAnsiTheme="minorHAnsi" w:cstheme="minorHAnsi"/>
              <w:noProof/>
              <w:sz w:val="20"/>
              <w:szCs w:val="20"/>
            </w:rPr>
            <w:drawing>
              <wp:inline distT="0" distB="0" distL="0" distR="0">
                <wp:extent cx="2755900" cy="163830"/>
                <wp:effectExtent l="19050" t="0" r="6350" b="0"/>
                <wp:docPr id="19"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32" w:type="dxa"/>
          <w:shd w:val="clear" w:color="auto" w:fill="012464"/>
          <w:vAlign w:val="center"/>
        </w:tcPr>
        <w:p w:rsidR="009E703A" w:rsidRPr="008C00E7" w:rsidRDefault="00911AFE" w:rsidP="000536BE">
          <w:pPr>
            <w:pStyle w:val="Footer"/>
            <w:jc w:val="center"/>
            <w:rPr>
              <w:rFonts w:asciiTheme="minorHAnsi" w:hAnsiTheme="minorHAnsi" w:cstheme="minorHAnsi"/>
              <w:sz w:val="20"/>
              <w:szCs w:val="20"/>
            </w:rPr>
          </w:pPr>
          <w:r w:rsidRPr="008C00E7">
            <w:rPr>
              <w:rStyle w:val="PageNumber"/>
              <w:rFonts w:asciiTheme="minorHAnsi" w:hAnsiTheme="minorHAnsi" w:cstheme="minorHAnsi"/>
              <w:sz w:val="20"/>
              <w:szCs w:val="20"/>
            </w:rPr>
            <w:fldChar w:fldCharType="begin"/>
          </w:r>
          <w:r w:rsidR="00AF7B61" w:rsidRPr="008C00E7">
            <w:rPr>
              <w:rStyle w:val="PageNumber"/>
              <w:rFonts w:asciiTheme="minorHAnsi" w:hAnsiTheme="minorHAnsi" w:cstheme="minorHAnsi"/>
              <w:sz w:val="20"/>
              <w:szCs w:val="20"/>
            </w:rPr>
            <w:instrText xml:space="preserve"> PAGE </w:instrText>
          </w:r>
          <w:r w:rsidRPr="008C00E7">
            <w:rPr>
              <w:rStyle w:val="PageNumber"/>
              <w:rFonts w:asciiTheme="minorHAnsi" w:hAnsiTheme="minorHAnsi" w:cstheme="minorHAnsi"/>
              <w:sz w:val="20"/>
              <w:szCs w:val="20"/>
            </w:rPr>
            <w:fldChar w:fldCharType="separate"/>
          </w:r>
          <w:r w:rsidR="00F11E8F">
            <w:rPr>
              <w:rStyle w:val="PageNumber"/>
              <w:rFonts w:asciiTheme="minorHAnsi" w:hAnsiTheme="minorHAnsi" w:cstheme="minorHAnsi"/>
              <w:noProof/>
              <w:sz w:val="20"/>
              <w:szCs w:val="20"/>
            </w:rPr>
            <w:t>2</w:t>
          </w:r>
          <w:r w:rsidRPr="008C00E7">
            <w:rPr>
              <w:rStyle w:val="PageNumber"/>
              <w:rFonts w:asciiTheme="minorHAnsi" w:hAnsiTheme="minorHAnsi" w:cstheme="minorHAnsi"/>
              <w:sz w:val="20"/>
              <w:szCs w:val="20"/>
            </w:rPr>
            <w:fldChar w:fldCharType="end"/>
          </w:r>
        </w:p>
      </w:tc>
    </w:tr>
  </w:tbl>
  <w:p w:rsidR="009E703A" w:rsidRDefault="00CC0DEB"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Ind w:w="378" w:type="dxa"/>
      <w:tblLook w:val="01E0"/>
    </w:tblPr>
    <w:tblGrid>
      <w:gridCol w:w="5303"/>
      <w:gridCol w:w="4596"/>
      <w:gridCol w:w="408"/>
    </w:tblGrid>
    <w:tr w:rsidR="000A0FC3" w:rsidRPr="008C00E7" w:rsidTr="0048211F">
      <w:tc>
        <w:tcPr>
          <w:tcW w:w="5303" w:type="dxa"/>
          <w:shd w:val="clear" w:color="auto" w:fill="012464"/>
          <w:vAlign w:val="center"/>
        </w:tcPr>
        <w:p w:rsidR="000A0FC3" w:rsidRPr="008C00E7" w:rsidRDefault="008C00E7" w:rsidP="00FB21B7">
          <w:pPr>
            <w:pStyle w:val="Footer"/>
            <w:rPr>
              <w:rFonts w:asciiTheme="minorHAnsi" w:hAnsiTheme="minorHAnsi" w:cstheme="minorHAnsi"/>
              <w:sz w:val="20"/>
              <w:szCs w:val="20"/>
            </w:rPr>
          </w:pPr>
          <w:r>
            <w:rPr>
              <w:rFonts w:asciiTheme="minorHAnsi" w:hAnsiTheme="minorHAnsi" w:cstheme="minorHAnsi"/>
              <w:sz w:val="20"/>
              <w:szCs w:val="20"/>
            </w:rPr>
            <w:t>MENA Real Estate</w:t>
          </w:r>
        </w:p>
      </w:tc>
      <w:tc>
        <w:tcPr>
          <w:tcW w:w="4596" w:type="dxa"/>
          <w:vAlign w:val="center"/>
        </w:tcPr>
        <w:p w:rsidR="000A0FC3" w:rsidRPr="008C00E7" w:rsidRDefault="00AF7B61" w:rsidP="00FB21B7">
          <w:pPr>
            <w:pStyle w:val="Footer"/>
            <w:jc w:val="center"/>
            <w:rPr>
              <w:rFonts w:asciiTheme="minorHAnsi" w:hAnsiTheme="minorHAnsi" w:cstheme="minorHAnsi"/>
              <w:sz w:val="20"/>
              <w:szCs w:val="20"/>
            </w:rPr>
          </w:pPr>
          <w:r w:rsidRPr="008C00E7">
            <w:rPr>
              <w:rFonts w:asciiTheme="minorHAnsi" w:hAnsiTheme="minorHAnsi" w:cstheme="minorHAnsi"/>
              <w:noProof/>
              <w:sz w:val="20"/>
              <w:szCs w:val="20"/>
            </w:rPr>
            <w:drawing>
              <wp:inline distT="0" distB="0" distL="0" distR="0">
                <wp:extent cx="2755900" cy="163830"/>
                <wp:effectExtent l="19050" t="0" r="6350" b="0"/>
                <wp:docPr id="21"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08" w:type="dxa"/>
          <w:shd w:val="clear" w:color="auto" w:fill="012464"/>
          <w:vAlign w:val="center"/>
        </w:tcPr>
        <w:p w:rsidR="000A0FC3" w:rsidRPr="008C00E7" w:rsidRDefault="00911AFE" w:rsidP="004448B6">
          <w:pPr>
            <w:pStyle w:val="Footer"/>
            <w:jc w:val="center"/>
            <w:rPr>
              <w:rFonts w:asciiTheme="minorHAnsi" w:hAnsiTheme="minorHAnsi" w:cstheme="minorHAnsi"/>
              <w:sz w:val="20"/>
              <w:szCs w:val="20"/>
            </w:rPr>
          </w:pPr>
          <w:r w:rsidRPr="008C00E7">
            <w:rPr>
              <w:rStyle w:val="PageNumber"/>
              <w:rFonts w:asciiTheme="minorHAnsi" w:hAnsiTheme="minorHAnsi" w:cstheme="minorHAnsi"/>
              <w:sz w:val="20"/>
              <w:szCs w:val="20"/>
            </w:rPr>
            <w:fldChar w:fldCharType="begin"/>
          </w:r>
          <w:r w:rsidR="00AF7B61" w:rsidRPr="008C00E7">
            <w:rPr>
              <w:rStyle w:val="PageNumber"/>
              <w:rFonts w:asciiTheme="minorHAnsi" w:hAnsiTheme="minorHAnsi" w:cstheme="minorHAnsi"/>
              <w:sz w:val="20"/>
              <w:szCs w:val="20"/>
            </w:rPr>
            <w:instrText xml:space="preserve"> PAGE </w:instrText>
          </w:r>
          <w:r w:rsidRPr="008C00E7">
            <w:rPr>
              <w:rStyle w:val="PageNumber"/>
              <w:rFonts w:asciiTheme="minorHAnsi" w:hAnsiTheme="minorHAnsi" w:cstheme="minorHAnsi"/>
              <w:sz w:val="20"/>
              <w:szCs w:val="20"/>
            </w:rPr>
            <w:fldChar w:fldCharType="separate"/>
          </w:r>
          <w:r w:rsidR="00F11E8F">
            <w:rPr>
              <w:rStyle w:val="PageNumber"/>
              <w:rFonts w:asciiTheme="minorHAnsi" w:hAnsiTheme="minorHAnsi" w:cstheme="minorHAnsi"/>
              <w:noProof/>
              <w:sz w:val="20"/>
              <w:szCs w:val="20"/>
            </w:rPr>
            <w:t>1</w:t>
          </w:r>
          <w:r w:rsidRPr="008C00E7">
            <w:rPr>
              <w:rStyle w:val="PageNumber"/>
              <w:rFonts w:asciiTheme="minorHAnsi" w:hAnsiTheme="minorHAnsi" w:cstheme="minorHAnsi"/>
              <w:sz w:val="20"/>
              <w:szCs w:val="20"/>
            </w:rPr>
            <w:fldChar w:fldCharType="end"/>
          </w:r>
        </w:p>
      </w:tc>
    </w:tr>
  </w:tbl>
  <w:p w:rsidR="000A0FC3" w:rsidRPr="00DC7E60" w:rsidRDefault="00CC0DEB">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DEB" w:rsidRDefault="00CC0DEB" w:rsidP="00F72E6F">
      <w:r>
        <w:separator/>
      </w:r>
    </w:p>
  </w:footnote>
  <w:footnote w:type="continuationSeparator" w:id="0">
    <w:p w:rsidR="00CC0DEB" w:rsidRDefault="00CC0DEB" w:rsidP="00F72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40" w:type="pct"/>
      <w:tblInd w:w="468" w:type="dxa"/>
      <w:tblLook w:val="01E0"/>
    </w:tblPr>
    <w:tblGrid>
      <w:gridCol w:w="7918"/>
      <w:gridCol w:w="1928"/>
    </w:tblGrid>
    <w:tr w:rsidR="000A0FC3" w:rsidTr="00DC43D4">
      <w:trPr>
        <w:trHeight w:val="864"/>
      </w:trPr>
      <w:tc>
        <w:tcPr>
          <w:tcW w:w="4021" w:type="pct"/>
          <w:shd w:val="clear" w:color="auto" w:fill="D9DEE8"/>
        </w:tcPr>
        <w:p w:rsidR="000A0FC3" w:rsidRDefault="00CC0DEB" w:rsidP="007E48F6">
          <w:pPr>
            <w:pStyle w:val="Header"/>
          </w:pPr>
        </w:p>
      </w:tc>
      <w:tc>
        <w:tcPr>
          <w:tcW w:w="979" w:type="pct"/>
          <w:vMerge w:val="restart"/>
        </w:tcPr>
        <w:p w:rsidR="000A0FC3" w:rsidRDefault="00AF7B61">
          <w:pPr>
            <w:pStyle w:val="Header"/>
          </w:pPr>
          <w:r w:rsidRPr="005A6F66">
            <w:rPr>
              <w:noProof/>
            </w:rPr>
            <w:drawing>
              <wp:inline distT="0" distB="0" distL="0" distR="0">
                <wp:extent cx="1067366" cy="715223"/>
                <wp:effectExtent l="19050" t="0" r="0" b="0"/>
                <wp:docPr id="18"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67814" cy="715523"/>
                        </a:xfrm>
                        <a:prstGeom prst="rect">
                          <a:avLst/>
                        </a:prstGeom>
                        <a:noFill/>
                        <a:ln w="9525">
                          <a:noFill/>
                          <a:miter lim="800000"/>
                          <a:headEnd/>
                          <a:tailEnd/>
                        </a:ln>
                      </pic:spPr>
                    </pic:pic>
                  </a:graphicData>
                </a:graphic>
              </wp:inline>
            </w:drawing>
          </w:r>
        </w:p>
      </w:tc>
    </w:tr>
    <w:tr w:rsidR="000A0FC3" w:rsidRPr="00D37CD1" w:rsidTr="00DC43D4">
      <w:trPr>
        <w:trHeight w:val="70"/>
      </w:trPr>
      <w:tc>
        <w:tcPr>
          <w:tcW w:w="4021" w:type="pct"/>
          <w:shd w:val="clear" w:color="auto" w:fill="E6E9EF"/>
        </w:tcPr>
        <w:p w:rsidR="000A0FC3" w:rsidRPr="008C00E7" w:rsidRDefault="008C00E7">
          <w:pPr>
            <w:pStyle w:val="Header"/>
            <w:rPr>
              <w:rFonts w:asciiTheme="minorHAnsi" w:hAnsiTheme="minorHAnsi" w:cstheme="minorHAnsi"/>
              <w:color w:val="012464"/>
              <w:sz w:val="20"/>
              <w:szCs w:val="20"/>
            </w:rPr>
          </w:pPr>
          <w:r w:rsidRPr="008C00E7">
            <w:rPr>
              <w:rFonts w:asciiTheme="minorHAnsi" w:hAnsiTheme="minorHAnsi" w:cstheme="minorHAnsi"/>
              <w:sz w:val="20"/>
              <w:szCs w:val="20"/>
            </w:rPr>
            <w:t>Property Beat</w:t>
          </w:r>
        </w:p>
      </w:tc>
      <w:tc>
        <w:tcPr>
          <w:tcW w:w="979" w:type="pct"/>
          <w:vMerge/>
          <w:shd w:val="clear" w:color="auto" w:fill="E6E9EF"/>
        </w:tcPr>
        <w:p w:rsidR="000A0FC3" w:rsidRPr="00D37CD1" w:rsidRDefault="00CC0DEB">
          <w:pPr>
            <w:pStyle w:val="Header"/>
            <w:rPr>
              <w:color w:val="012464"/>
              <w:sz w:val="20"/>
              <w:szCs w:val="20"/>
            </w:rPr>
          </w:pPr>
        </w:p>
      </w:tc>
    </w:tr>
  </w:tbl>
  <w:p w:rsidR="000A0FC3" w:rsidRDefault="00CC0D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58" w:type="pct"/>
      <w:tblInd w:w="378" w:type="dxa"/>
      <w:shd w:val="clear" w:color="auto" w:fill="012362"/>
      <w:tblLayout w:type="fixed"/>
      <w:tblLook w:val="01E0"/>
    </w:tblPr>
    <w:tblGrid>
      <w:gridCol w:w="3165"/>
      <w:gridCol w:w="4246"/>
      <w:gridCol w:w="236"/>
      <w:gridCol w:w="2236"/>
    </w:tblGrid>
    <w:tr w:rsidR="000A0FC3" w:rsidRPr="008C00E7" w:rsidTr="00DC43D4">
      <w:tc>
        <w:tcPr>
          <w:tcW w:w="1602" w:type="pct"/>
          <w:shd w:val="clear" w:color="auto" w:fill="012362"/>
        </w:tcPr>
        <w:p w:rsidR="000A0FC3" w:rsidRPr="008C00E7" w:rsidRDefault="00AF7B61" w:rsidP="001155D7">
          <w:pPr>
            <w:pStyle w:val="iRDepartmentHeader"/>
            <w:rPr>
              <w:rFonts w:asciiTheme="minorHAnsi" w:hAnsiTheme="minorHAnsi" w:cstheme="minorHAnsi"/>
              <w:sz w:val="20"/>
              <w:szCs w:val="20"/>
            </w:rPr>
          </w:pPr>
          <w:r w:rsidRPr="008C00E7">
            <w:rPr>
              <w:rFonts w:asciiTheme="minorHAnsi" w:hAnsiTheme="minorHAnsi" w:cstheme="minorHAnsi"/>
              <w:sz w:val="20"/>
              <w:szCs w:val="20"/>
            </w:rPr>
            <w:t>Research Department</w:t>
          </w:r>
        </w:p>
      </w:tc>
      <w:tc>
        <w:tcPr>
          <w:tcW w:w="2149" w:type="pct"/>
          <w:shd w:val="clear" w:color="auto" w:fill="012362"/>
        </w:tcPr>
        <w:p w:rsidR="000A0FC3" w:rsidRPr="008C00E7" w:rsidRDefault="008C00E7" w:rsidP="001155D7">
          <w:pPr>
            <w:pStyle w:val="CountrySectorNameHeader"/>
            <w:rPr>
              <w:rFonts w:asciiTheme="minorHAnsi" w:hAnsiTheme="minorHAnsi" w:cstheme="minorHAnsi"/>
              <w:sz w:val="20"/>
              <w:szCs w:val="20"/>
            </w:rPr>
          </w:pPr>
          <w:r>
            <w:rPr>
              <w:rFonts w:asciiTheme="minorHAnsi" w:hAnsiTheme="minorHAnsi" w:cstheme="minorHAnsi"/>
              <w:sz w:val="20"/>
              <w:szCs w:val="20"/>
            </w:rPr>
            <w:t>MENA Real Estate</w:t>
          </w:r>
        </w:p>
      </w:tc>
      <w:tc>
        <w:tcPr>
          <w:tcW w:w="116" w:type="pct"/>
          <w:vMerge w:val="restart"/>
          <w:shd w:val="clear" w:color="auto" w:fill="auto"/>
        </w:tcPr>
        <w:p w:rsidR="000A0FC3" w:rsidRPr="008C00E7" w:rsidRDefault="00CC0DEB" w:rsidP="001155D7">
          <w:pPr>
            <w:rPr>
              <w:rFonts w:asciiTheme="minorHAnsi" w:hAnsiTheme="minorHAnsi" w:cstheme="minorHAnsi"/>
              <w:sz w:val="20"/>
              <w:szCs w:val="20"/>
            </w:rPr>
          </w:pPr>
        </w:p>
      </w:tc>
      <w:tc>
        <w:tcPr>
          <w:tcW w:w="1132" w:type="pct"/>
          <w:vMerge w:val="restart"/>
          <w:shd w:val="clear" w:color="auto" w:fill="auto"/>
        </w:tcPr>
        <w:p w:rsidR="000A0FC3" w:rsidRPr="008C00E7" w:rsidRDefault="00AF7B61" w:rsidP="00DC43D4">
          <w:pPr>
            <w:tabs>
              <w:tab w:val="left" w:pos="5796"/>
            </w:tabs>
            <w:ind w:left="-144" w:right="161"/>
            <w:rPr>
              <w:rFonts w:asciiTheme="minorHAnsi" w:hAnsiTheme="minorHAnsi" w:cstheme="minorHAnsi"/>
            </w:rPr>
          </w:pPr>
          <w:r w:rsidRPr="008C00E7">
            <w:rPr>
              <w:rFonts w:asciiTheme="minorHAnsi" w:hAnsiTheme="minorHAnsi" w:cstheme="minorHAnsi"/>
              <w:noProof/>
            </w:rPr>
            <w:drawing>
              <wp:inline distT="0" distB="0" distL="0" distR="0">
                <wp:extent cx="1393825" cy="1010920"/>
                <wp:effectExtent l="19050" t="0" r="0" b="0"/>
                <wp:docPr id="20"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393825" cy="1010920"/>
                        </a:xfrm>
                        <a:prstGeom prst="rect">
                          <a:avLst/>
                        </a:prstGeom>
                        <a:noFill/>
                      </pic:spPr>
                    </pic:pic>
                  </a:graphicData>
                </a:graphic>
              </wp:inline>
            </w:drawing>
          </w:r>
        </w:p>
      </w:tc>
    </w:tr>
    <w:tr w:rsidR="000A0FC3" w:rsidRPr="008C00E7" w:rsidTr="00DC43D4">
      <w:trPr>
        <w:trHeight w:hRule="exact" w:val="1152"/>
      </w:trPr>
      <w:tc>
        <w:tcPr>
          <w:tcW w:w="3751" w:type="pct"/>
          <w:gridSpan w:val="2"/>
          <w:shd w:val="clear" w:color="auto" w:fill="012362"/>
          <w:vAlign w:val="center"/>
        </w:tcPr>
        <w:p w:rsidR="000A0FC3" w:rsidRPr="008C00E7" w:rsidRDefault="008C00E7" w:rsidP="00F716B2">
          <w:pPr>
            <w:pStyle w:val="iRCompanySectorNameHeader"/>
            <w:rPr>
              <w:rFonts w:asciiTheme="minorHAnsi" w:hAnsiTheme="minorHAnsi" w:cstheme="minorHAnsi"/>
              <w:sz w:val="80"/>
              <w:szCs w:val="80"/>
            </w:rPr>
          </w:pPr>
          <w:r w:rsidRPr="008C00E7">
            <w:rPr>
              <w:rFonts w:asciiTheme="minorHAnsi" w:hAnsiTheme="minorHAnsi" w:cstheme="minorHAnsi"/>
              <w:sz w:val="80"/>
              <w:szCs w:val="80"/>
            </w:rPr>
            <w:t>Property Beat</w:t>
          </w:r>
        </w:p>
      </w:tc>
      <w:tc>
        <w:tcPr>
          <w:tcW w:w="116" w:type="pct"/>
          <w:vMerge/>
          <w:shd w:val="clear" w:color="auto" w:fill="auto"/>
        </w:tcPr>
        <w:p w:rsidR="000A0FC3" w:rsidRPr="008C00E7" w:rsidRDefault="00CC0DEB" w:rsidP="001155D7">
          <w:pPr>
            <w:rPr>
              <w:rFonts w:asciiTheme="minorHAnsi" w:hAnsiTheme="minorHAnsi" w:cstheme="minorHAnsi"/>
            </w:rPr>
          </w:pPr>
        </w:p>
      </w:tc>
      <w:tc>
        <w:tcPr>
          <w:tcW w:w="1132" w:type="pct"/>
          <w:vMerge/>
          <w:shd w:val="clear" w:color="auto" w:fill="auto"/>
        </w:tcPr>
        <w:p w:rsidR="000A0FC3" w:rsidRPr="008C00E7" w:rsidRDefault="00CC0DEB" w:rsidP="001155D7">
          <w:pPr>
            <w:rPr>
              <w:rFonts w:asciiTheme="minorHAnsi" w:hAnsiTheme="minorHAnsi" w:cstheme="minorHAnsi"/>
            </w:rPr>
          </w:pPr>
        </w:p>
      </w:tc>
    </w:tr>
    <w:tr w:rsidR="000A0FC3" w:rsidRPr="008C00E7" w:rsidTr="00DC43D4">
      <w:tc>
        <w:tcPr>
          <w:tcW w:w="1602" w:type="pct"/>
          <w:shd w:val="clear" w:color="auto" w:fill="4D6894"/>
        </w:tcPr>
        <w:p w:rsidR="000A0FC3" w:rsidRPr="008C00E7" w:rsidRDefault="003E46AC" w:rsidP="001155D7">
          <w:pPr>
            <w:pStyle w:val="iRReportTypeHeader"/>
            <w:rPr>
              <w:rFonts w:asciiTheme="minorHAnsi" w:hAnsiTheme="minorHAnsi" w:cstheme="minorHAnsi"/>
              <w:sz w:val="20"/>
              <w:szCs w:val="20"/>
            </w:rPr>
          </w:pPr>
          <w:r w:rsidRPr="008C00E7">
            <w:rPr>
              <w:rFonts w:asciiTheme="minorHAnsi" w:hAnsiTheme="minorHAnsi" w:cstheme="minorHAnsi"/>
              <w:sz w:val="20"/>
              <w:szCs w:val="20"/>
            </w:rPr>
            <w:t>Property Beat</w:t>
          </w:r>
        </w:p>
      </w:tc>
      <w:tc>
        <w:tcPr>
          <w:tcW w:w="2149" w:type="pct"/>
          <w:shd w:val="clear" w:color="auto" w:fill="4D6894"/>
        </w:tcPr>
        <w:p w:rsidR="000A0FC3" w:rsidRPr="008C00E7" w:rsidRDefault="00911AFE" w:rsidP="001155D7">
          <w:pPr>
            <w:pStyle w:val="iRReportDateHeader"/>
            <w:rPr>
              <w:rFonts w:asciiTheme="minorHAnsi" w:hAnsiTheme="minorHAnsi" w:cstheme="minorHAnsi"/>
              <w:sz w:val="20"/>
              <w:szCs w:val="20"/>
            </w:rPr>
          </w:pPr>
          <w:r w:rsidRPr="008C00E7">
            <w:rPr>
              <w:rFonts w:asciiTheme="minorHAnsi" w:hAnsiTheme="minorHAnsi" w:cstheme="minorHAnsi"/>
              <w:sz w:val="20"/>
              <w:szCs w:val="20"/>
            </w:rPr>
            <w:fldChar w:fldCharType="begin"/>
          </w:r>
          <w:r w:rsidR="00AF7B61" w:rsidRPr="008C00E7">
            <w:rPr>
              <w:rFonts w:asciiTheme="minorHAnsi" w:hAnsiTheme="minorHAnsi" w:cstheme="minorHAnsi"/>
              <w:sz w:val="20"/>
              <w:szCs w:val="20"/>
            </w:rPr>
            <w:instrText xml:space="preserve"> DATE  \@ "d MMMM yyyy"  \* MERGEFORMAT </w:instrText>
          </w:r>
          <w:r w:rsidRPr="008C00E7">
            <w:rPr>
              <w:rFonts w:asciiTheme="minorHAnsi" w:hAnsiTheme="minorHAnsi" w:cstheme="minorHAnsi"/>
              <w:sz w:val="20"/>
              <w:szCs w:val="20"/>
            </w:rPr>
            <w:fldChar w:fldCharType="separate"/>
          </w:r>
          <w:r w:rsidR="00F11E8F">
            <w:rPr>
              <w:rFonts w:asciiTheme="minorHAnsi" w:hAnsiTheme="minorHAnsi" w:cstheme="minorHAnsi"/>
              <w:noProof/>
              <w:sz w:val="20"/>
              <w:szCs w:val="20"/>
            </w:rPr>
            <w:t>27 July 2010</w:t>
          </w:r>
          <w:r w:rsidRPr="008C00E7">
            <w:rPr>
              <w:rFonts w:asciiTheme="minorHAnsi" w:hAnsiTheme="minorHAnsi" w:cstheme="minorHAnsi"/>
              <w:sz w:val="20"/>
              <w:szCs w:val="20"/>
            </w:rPr>
            <w:fldChar w:fldCharType="end"/>
          </w:r>
        </w:p>
      </w:tc>
      <w:tc>
        <w:tcPr>
          <w:tcW w:w="116" w:type="pct"/>
          <w:vMerge/>
          <w:shd w:val="clear" w:color="auto" w:fill="4D6894"/>
        </w:tcPr>
        <w:p w:rsidR="000A0FC3" w:rsidRPr="008C00E7" w:rsidRDefault="00CC0DEB" w:rsidP="001155D7">
          <w:pPr>
            <w:rPr>
              <w:rFonts w:asciiTheme="minorHAnsi" w:hAnsiTheme="minorHAnsi" w:cstheme="minorHAnsi"/>
            </w:rPr>
          </w:pPr>
        </w:p>
      </w:tc>
      <w:tc>
        <w:tcPr>
          <w:tcW w:w="1132" w:type="pct"/>
          <w:vMerge/>
          <w:shd w:val="clear" w:color="auto" w:fill="4D6894"/>
        </w:tcPr>
        <w:p w:rsidR="000A0FC3" w:rsidRPr="008C00E7" w:rsidRDefault="00CC0DEB" w:rsidP="001155D7">
          <w:pPr>
            <w:rPr>
              <w:rFonts w:asciiTheme="minorHAnsi" w:hAnsiTheme="minorHAnsi" w:cstheme="minorHAnsi"/>
            </w:rPr>
          </w:pPr>
        </w:p>
      </w:tc>
    </w:tr>
  </w:tbl>
  <w:p w:rsidR="000A0FC3" w:rsidRDefault="00CC0D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76A7"/>
    <w:multiLevelType w:val="multilevel"/>
    <w:tmpl w:val="087CF71A"/>
    <w:numStyleLink w:val="StyleBulletedSymbolsymbolBefore025Hanging025"/>
  </w:abstractNum>
  <w:abstractNum w:abstractNumId="1">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1"/>
    <w:footnote w:id="0"/>
  </w:footnotePr>
  <w:endnotePr>
    <w:endnote w:id="-1"/>
    <w:endnote w:id="0"/>
  </w:endnotePr>
  <w:compat/>
  <w:rsids>
    <w:rsidRoot w:val="00F72E6F"/>
    <w:rsid w:val="00160FE5"/>
    <w:rsid w:val="00194DF3"/>
    <w:rsid w:val="002151B0"/>
    <w:rsid w:val="003E46AC"/>
    <w:rsid w:val="003F1491"/>
    <w:rsid w:val="00412E51"/>
    <w:rsid w:val="0048211F"/>
    <w:rsid w:val="004A66F5"/>
    <w:rsid w:val="004A68BF"/>
    <w:rsid w:val="004F2E31"/>
    <w:rsid w:val="0052611C"/>
    <w:rsid w:val="00531CF8"/>
    <w:rsid w:val="00827543"/>
    <w:rsid w:val="008C00E7"/>
    <w:rsid w:val="00911AFE"/>
    <w:rsid w:val="009F2B89"/>
    <w:rsid w:val="009F63F5"/>
    <w:rsid w:val="00A20A07"/>
    <w:rsid w:val="00A66160"/>
    <w:rsid w:val="00AA436C"/>
    <w:rsid w:val="00AF7B61"/>
    <w:rsid w:val="00C66408"/>
    <w:rsid w:val="00CB78EF"/>
    <w:rsid w:val="00CC0DEB"/>
    <w:rsid w:val="00D77156"/>
    <w:rsid w:val="00EF543C"/>
    <w:rsid w:val="00F11E8F"/>
    <w:rsid w:val="00F72E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E6F"/>
    <w:pPr>
      <w:spacing w:after="0" w:line="240" w:lineRule="auto"/>
    </w:pPr>
    <w:rPr>
      <w:rFonts w:ascii="Tahoma" w:eastAsia="Times New Roman" w:hAnsi="Tahoma" w:cs="Tahoma"/>
      <w:sz w:val="18"/>
      <w:szCs w:val="24"/>
    </w:rPr>
  </w:style>
  <w:style w:type="paragraph" w:styleId="Heading2">
    <w:name w:val="heading 2"/>
    <w:basedOn w:val="Normal"/>
    <w:next w:val="Normal"/>
    <w:link w:val="Heading2Char"/>
    <w:qFormat/>
    <w:rsid w:val="00C66408"/>
    <w:pPr>
      <w:keepNext/>
      <w:numPr>
        <w:ilvl w:val="1"/>
        <w:numId w:val="3"/>
      </w:numPr>
      <w:outlineLvl w:val="1"/>
    </w:pPr>
    <w:rPr>
      <w:rFonts w:cs="Arial"/>
      <w:bCs/>
      <w:iCs/>
      <w:color w:val="012464"/>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72E6F"/>
    <w:pPr>
      <w:tabs>
        <w:tab w:val="center" w:pos="4320"/>
        <w:tab w:val="right" w:pos="8640"/>
      </w:tabs>
    </w:pPr>
  </w:style>
  <w:style w:type="character" w:customStyle="1" w:styleId="HeaderChar">
    <w:name w:val="Header Char"/>
    <w:basedOn w:val="DefaultParagraphFont"/>
    <w:link w:val="Header"/>
    <w:rsid w:val="00F72E6F"/>
    <w:rPr>
      <w:rFonts w:ascii="Tahoma" w:eastAsia="Times New Roman" w:hAnsi="Tahoma" w:cs="Tahoma"/>
      <w:sz w:val="18"/>
      <w:szCs w:val="24"/>
    </w:rPr>
  </w:style>
  <w:style w:type="paragraph" w:styleId="Footer">
    <w:name w:val="footer"/>
    <w:basedOn w:val="Normal"/>
    <w:link w:val="FooterChar"/>
    <w:rsid w:val="00F72E6F"/>
    <w:pPr>
      <w:tabs>
        <w:tab w:val="center" w:pos="4320"/>
        <w:tab w:val="right" w:pos="8640"/>
      </w:tabs>
    </w:pPr>
  </w:style>
  <w:style w:type="character" w:customStyle="1" w:styleId="FooterChar">
    <w:name w:val="Footer Char"/>
    <w:basedOn w:val="DefaultParagraphFont"/>
    <w:link w:val="Footer"/>
    <w:rsid w:val="00F72E6F"/>
    <w:rPr>
      <w:rFonts w:ascii="Tahoma" w:eastAsia="Times New Roman" w:hAnsi="Tahoma" w:cs="Tahoma"/>
      <w:sz w:val="18"/>
      <w:szCs w:val="24"/>
    </w:rPr>
  </w:style>
  <w:style w:type="table" w:styleId="TableGrid">
    <w:name w:val="Table Grid"/>
    <w:basedOn w:val="TableNormal"/>
    <w:rsid w:val="00F72E6F"/>
    <w:pPr>
      <w:spacing w:after="0" w:line="240" w:lineRule="auto"/>
    </w:pPr>
    <w:rPr>
      <w:rFonts w:ascii="Times" w:eastAsia="Times New Roman" w:hAnsi="Times" w:cs="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F72E6F"/>
    <w:pPr>
      <w:jc w:val="right"/>
    </w:pPr>
    <w:rPr>
      <w:color w:val="FFFFFF"/>
      <w:szCs w:val="18"/>
    </w:rPr>
  </w:style>
  <w:style w:type="paragraph" w:customStyle="1" w:styleId="CountrySectorNameHeader">
    <w:name w:val="Country/Sector Name (Header)"/>
    <w:basedOn w:val="Normal"/>
    <w:rsid w:val="00F72E6F"/>
    <w:pPr>
      <w:jc w:val="right"/>
    </w:pPr>
    <w:rPr>
      <w:color w:val="B3BDD0"/>
      <w:sz w:val="16"/>
    </w:rPr>
  </w:style>
  <w:style w:type="paragraph" w:customStyle="1" w:styleId="iRReportTypeHeader">
    <w:name w:val="iR Report Type (Header)"/>
    <w:basedOn w:val="Normal"/>
    <w:rsid w:val="00F72E6F"/>
    <w:rPr>
      <w:color w:val="FFFFFF"/>
      <w:szCs w:val="18"/>
    </w:rPr>
  </w:style>
  <w:style w:type="paragraph" w:customStyle="1" w:styleId="iRCompanySectorNameHeader">
    <w:name w:val="iR Company/Sector Name (Header)"/>
    <w:basedOn w:val="Normal"/>
    <w:rsid w:val="00F72E6F"/>
    <w:rPr>
      <w:color w:val="FFFFFF"/>
      <w:sz w:val="72"/>
      <w:szCs w:val="72"/>
    </w:rPr>
  </w:style>
  <w:style w:type="paragraph" w:customStyle="1" w:styleId="iRDepartmentHeader">
    <w:name w:val="iR Department (Header)"/>
    <w:basedOn w:val="Normal"/>
    <w:rsid w:val="00F72E6F"/>
    <w:rPr>
      <w:color w:val="B3BDD0"/>
      <w:sz w:val="16"/>
      <w:szCs w:val="16"/>
    </w:rPr>
  </w:style>
  <w:style w:type="character" w:styleId="PageNumber">
    <w:name w:val="page number"/>
    <w:basedOn w:val="DefaultParagraphFont"/>
    <w:rsid w:val="00F72E6F"/>
  </w:style>
  <w:style w:type="numbering" w:customStyle="1" w:styleId="StyleBulletedSymbolsymbolBefore025Hanging025">
    <w:name w:val="Style Bulleted Symbol (symbol) Before:  0.25&quot; Hanging:  0.25&quot;"/>
    <w:basedOn w:val="NoList"/>
    <w:rsid w:val="00F72E6F"/>
    <w:pPr>
      <w:numPr>
        <w:numId w:val="1"/>
      </w:numPr>
    </w:pPr>
  </w:style>
  <w:style w:type="paragraph" w:customStyle="1" w:styleId="iRBullet">
    <w:name w:val="iR Bullet"/>
    <w:basedOn w:val="Normal"/>
    <w:rsid w:val="00F72E6F"/>
    <w:pPr>
      <w:numPr>
        <w:numId w:val="2"/>
      </w:numPr>
      <w:tabs>
        <w:tab w:val="clear" w:pos="720"/>
        <w:tab w:val="num" w:pos="180"/>
      </w:tabs>
      <w:ind w:left="0" w:firstLine="0"/>
    </w:pPr>
    <w:rPr>
      <w:b/>
      <w:bCs/>
      <w:color w:val="4D6692"/>
      <w:sz w:val="20"/>
      <w:szCs w:val="20"/>
    </w:rPr>
  </w:style>
  <w:style w:type="paragraph" w:customStyle="1" w:styleId="iRTableHead">
    <w:name w:val="iR Table Head"/>
    <w:basedOn w:val="Normal"/>
    <w:rsid w:val="00F72E6F"/>
    <w:rPr>
      <w:color w:val="FFFFFF"/>
      <w:sz w:val="16"/>
    </w:rPr>
  </w:style>
  <w:style w:type="paragraph" w:customStyle="1" w:styleId="iRTableRow">
    <w:name w:val="iR Table Row"/>
    <w:basedOn w:val="Normal"/>
    <w:rsid w:val="00F72E6F"/>
    <w:rPr>
      <w:color w:val="000000"/>
      <w:sz w:val="16"/>
      <w:szCs w:val="16"/>
    </w:rPr>
  </w:style>
  <w:style w:type="paragraph" w:customStyle="1" w:styleId="iRContactCard-ContactName">
    <w:name w:val="iR Contact Card - Contact Name"/>
    <w:basedOn w:val="Normal"/>
    <w:rsid w:val="00F72E6F"/>
    <w:pPr>
      <w:spacing w:line="240" w:lineRule="exact"/>
    </w:pPr>
    <w:rPr>
      <w:color w:val="FFFFFF"/>
    </w:rPr>
  </w:style>
  <w:style w:type="paragraph" w:customStyle="1" w:styleId="iRContactCard-ContactInfo">
    <w:name w:val="iR Contact Card - Contact Info"/>
    <w:basedOn w:val="iRContactCard-ContactName"/>
    <w:rsid w:val="00F72E6F"/>
    <w:pPr>
      <w:spacing w:line="300" w:lineRule="exact"/>
    </w:pPr>
    <w:rPr>
      <w:color w:val="1F2C60"/>
    </w:rPr>
  </w:style>
  <w:style w:type="paragraph" w:customStyle="1" w:styleId="iRSectionTitle">
    <w:name w:val="iR Section Title"/>
    <w:basedOn w:val="Normal"/>
    <w:rsid w:val="00F72E6F"/>
    <w:pPr>
      <w:shd w:val="clear" w:color="auto" w:fill="E7EBF2"/>
      <w:spacing w:line="440" w:lineRule="exact"/>
    </w:pPr>
    <w:rPr>
      <w:color w:val="012464"/>
      <w:sz w:val="36"/>
      <w:szCs w:val="36"/>
    </w:rPr>
  </w:style>
  <w:style w:type="paragraph" w:customStyle="1" w:styleId="iRChartNoteDark">
    <w:name w:val="iR Chart Note (Dark)"/>
    <w:basedOn w:val="Normal"/>
    <w:link w:val="iRChartNoteDarkChar"/>
    <w:rsid w:val="00F72E6F"/>
    <w:rPr>
      <w:color w:val="315184"/>
      <w:sz w:val="14"/>
      <w:szCs w:val="14"/>
    </w:rPr>
  </w:style>
  <w:style w:type="character" w:customStyle="1" w:styleId="iRChartNoteDarkChar">
    <w:name w:val="iR Chart Note (Dark) Char"/>
    <w:basedOn w:val="DefaultParagraphFont"/>
    <w:link w:val="iRChartNoteDark"/>
    <w:rsid w:val="00F72E6F"/>
    <w:rPr>
      <w:rFonts w:ascii="Tahoma" w:eastAsia="Times New Roman" w:hAnsi="Tahoma" w:cs="Tahoma"/>
      <w:color w:val="315184"/>
      <w:sz w:val="14"/>
      <w:szCs w:val="14"/>
    </w:rPr>
  </w:style>
  <w:style w:type="paragraph" w:customStyle="1" w:styleId="iRChartNoteLight">
    <w:name w:val="iR Chart Note (Light)"/>
    <w:basedOn w:val="Normal"/>
    <w:link w:val="iRChartNoteLightChar"/>
    <w:rsid w:val="00F72E6F"/>
    <w:rPr>
      <w:color w:val="8092B1"/>
      <w:sz w:val="14"/>
      <w:szCs w:val="14"/>
    </w:rPr>
  </w:style>
  <w:style w:type="character" w:customStyle="1" w:styleId="iRChartNoteLightChar">
    <w:name w:val="iR Chart Note (Light) Char"/>
    <w:basedOn w:val="DefaultParagraphFont"/>
    <w:link w:val="iRChartNoteLight"/>
    <w:rsid w:val="00F72E6F"/>
    <w:rPr>
      <w:rFonts w:ascii="Tahoma" w:eastAsia="Times New Roman" w:hAnsi="Tahoma" w:cs="Tahoma"/>
      <w:color w:val="8092B1"/>
      <w:sz w:val="14"/>
      <w:szCs w:val="14"/>
    </w:rPr>
  </w:style>
  <w:style w:type="paragraph" w:customStyle="1" w:styleId="iRDisclaimerRef">
    <w:name w:val="iR Disclaimer Ref"/>
    <w:basedOn w:val="Normal"/>
    <w:rsid w:val="00F72E6F"/>
    <w:pPr>
      <w:spacing w:line="240" w:lineRule="exact"/>
    </w:pPr>
    <w:rPr>
      <w:color w:val="012464"/>
      <w:sz w:val="14"/>
      <w:szCs w:val="14"/>
    </w:rPr>
  </w:style>
  <w:style w:type="paragraph" w:styleId="BalloonText">
    <w:name w:val="Balloon Text"/>
    <w:basedOn w:val="Normal"/>
    <w:link w:val="BalloonTextChar"/>
    <w:uiPriority w:val="99"/>
    <w:semiHidden/>
    <w:unhideWhenUsed/>
    <w:rsid w:val="00F72E6F"/>
    <w:rPr>
      <w:sz w:val="16"/>
      <w:szCs w:val="16"/>
    </w:rPr>
  </w:style>
  <w:style w:type="character" w:customStyle="1" w:styleId="BalloonTextChar">
    <w:name w:val="Balloon Text Char"/>
    <w:basedOn w:val="DefaultParagraphFont"/>
    <w:link w:val="BalloonText"/>
    <w:uiPriority w:val="99"/>
    <w:semiHidden/>
    <w:rsid w:val="00F72E6F"/>
    <w:rPr>
      <w:rFonts w:ascii="Tahoma" w:eastAsia="Times New Roman" w:hAnsi="Tahoma" w:cs="Tahoma"/>
      <w:sz w:val="16"/>
      <w:szCs w:val="16"/>
    </w:rPr>
  </w:style>
  <w:style w:type="character" w:customStyle="1" w:styleId="Heading2Char">
    <w:name w:val="Heading 2 Char"/>
    <w:basedOn w:val="DefaultParagraphFont"/>
    <w:link w:val="Heading2"/>
    <w:rsid w:val="00C66408"/>
    <w:rPr>
      <w:rFonts w:ascii="Tahoma" w:eastAsia="Times New Roman" w:hAnsi="Tahoma" w:cs="Arial"/>
      <w:bCs/>
      <w:iCs/>
      <w:color w:val="012464"/>
      <w:sz w:val="20"/>
      <w:szCs w:val="28"/>
    </w:rPr>
  </w:style>
</w:styles>
</file>

<file path=word/webSettings.xml><?xml version="1.0" encoding="utf-8"?>
<w:webSettings xmlns:r="http://schemas.openxmlformats.org/officeDocument/2006/relationships" xmlns:w="http://schemas.openxmlformats.org/wordprocessingml/2006/main">
  <w:divs>
    <w:div w:id="4838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oleObject" Target="file:///C:\Documents%20and%20Settings\ngawad\Desktop\Database\February\February%20Database.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ngawad\Desktop\Database\February\Property%20Beat%20February%20201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421"/>
          <c:h val="0.8811188811188817"/>
        </c:manualLayout>
      </c:layout>
      <c:lineChart>
        <c:grouping val="standard"/>
        <c:ser>
          <c:idx val="0"/>
          <c:order val="0"/>
          <c:tx>
            <c:strRef>
              <c:f>Price!$B$75</c:f>
              <c:strCache>
                <c:ptCount val="1"/>
                <c:pt idx="0">
                  <c:v>Apartment</c:v>
                </c:pt>
              </c:strCache>
            </c:strRef>
          </c:tx>
          <c:spPr>
            <a:ln w="12700">
              <a:solidFill>
                <a:srgbClr val="7F7F7F"/>
              </a:solidFill>
            </a:ln>
          </c:spPr>
          <c:marker>
            <c:symbol val="none"/>
          </c:marker>
          <c:cat>
            <c:numRef>
              <c:f>Price!$A$76:$A$104</c:f>
              <c:numCache>
                <c:formatCode>mmm\-yy</c:formatCode>
                <c:ptCount val="29"/>
                <c:pt idx="0">
                  <c:v>39356</c:v>
                </c:pt>
                <c:pt idx="1">
                  <c:v>39387</c:v>
                </c:pt>
                <c:pt idx="2">
                  <c:v>39417</c:v>
                </c:pt>
                <c:pt idx="3">
                  <c:v>39448</c:v>
                </c:pt>
                <c:pt idx="4">
                  <c:v>39479</c:v>
                </c:pt>
                <c:pt idx="5">
                  <c:v>39508</c:v>
                </c:pt>
                <c:pt idx="6">
                  <c:v>39539</c:v>
                </c:pt>
                <c:pt idx="7">
                  <c:v>39569</c:v>
                </c:pt>
                <c:pt idx="8">
                  <c:v>39600</c:v>
                </c:pt>
                <c:pt idx="9">
                  <c:v>39630</c:v>
                </c:pt>
                <c:pt idx="10">
                  <c:v>39661</c:v>
                </c:pt>
                <c:pt idx="11">
                  <c:v>39692</c:v>
                </c:pt>
                <c:pt idx="12">
                  <c:v>39722</c:v>
                </c:pt>
                <c:pt idx="13">
                  <c:v>39753</c:v>
                </c:pt>
                <c:pt idx="14">
                  <c:v>39783</c:v>
                </c:pt>
                <c:pt idx="15">
                  <c:v>39814</c:v>
                </c:pt>
                <c:pt idx="16">
                  <c:v>39845</c:v>
                </c:pt>
                <c:pt idx="17">
                  <c:v>39873</c:v>
                </c:pt>
                <c:pt idx="18">
                  <c:v>39904</c:v>
                </c:pt>
                <c:pt idx="19">
                  <c:v>39934</c:v>
                </c:pt>
                <c:pt idx="20">
                  <c:v>39965</c:v>
                </c:pt>
                <c:pt idx="21">
                  <c:v>39995</c:v>
                </c:pt>
                <c:pt idx="22">
                  <c:v>40026</c:v>
                </c:pt>
                <c:pt idx="23">
                  <c:v>40057</c:v>
                </c:pt>
                <c:pt idx="24">
                  <c:v>40087</c:v>
                </c:pt>
                <c:pt idx="25">
                  <c:v>40118</c:v>
                </c:pt>
                <c:pt idx="26">
                  <c:v>40148</c:v>
                </c:pt>
                <c:pt idx="27">
                  <c:v>40179</c:v>
                </c:pt>
                <c:pt idx="28">
                  <c:v>40210</c:v>
                </c:pt>
              </c:numCache>
            </c:numRef>
          </c:cat>
          <c:val>
            <c:numRef>
              <c:f>Price!$B$76:$B$104</c:f>
              <c:numCache>
                <c:formatCode>_(* #,##0_);_(* \(#,##0\);_(* "-"_);_(@_)</c:formatCode>
                <c:ptCount val="29"/>
                <c:pt idx="0">
                  <c:v>100</c:v>
                </c:pt>
                <c:pt idx="1">
                  <c:v>104.64784297561376</c:v>
                </c:pt>
                <c:pt idx="2">
                  <c:v>103.85851250507753</c:v>
                </c:pt>
                <c:pt idx="3">
                  <c:v>114.13357002702622</c:v>
                </c:pt>
                <c:pt idx="4">
                  <c:v>104.22125901116409</c:v>
                </c:pt>
                <c:pt idx="5">
                  <c:v>144.26227537243108</c:v>
                </c:pt>
                <c:pt idx="6">
                  <c:v>127.43198961326989</c:v>
                </c:pt>
                <c:pt idx="7">
                  <c:v>143.2080691223081</c:v>
                </c:pt>
                <c:pt idx="8">
                  <c:v>132.38350393041986</c:v>
                </c:pt>
                <c:pt idx="9">
                  <c:v>132.29868772666796</c:v>
                </c:pt>
                <c:pt idx="10">
                  <c:v>136.7233674556654</c:v>
                </c:pt>
                <c:pt idx="11">
                  <c:v>150.54861087156735</c:v>
                </c:pt>
                <c:pt idx="12">
                  <c:v>129.55988901307404</c:v>
                </c:pt>
                <c:pt idx="13">
                  <c:v>131.6126829473732</c:v>
                </c:pt>
                <c:pt idx="14">
                  <c:v>119.97751021310076</c:v>
                </c:pt>
                <c:pt idx="15">
                  <c:v>115.46962115808041</c:v>
                </c:pt>
                <c:pt idx="16">
                  <c:v>115.83487509682763</c:v>
                </c:pt>
                <c:pt idx="17">
                  <c:v>115.18351031628114</c:v>
                </c:pt>
                <c:pt idx="18">
                  <c:v>113.96141115533801</c:v>
                </c:pt>
                <c:pt idx="19">
                  <c:v>120.73036161851522</c:v>
                </c:pt>
                <c:pt idx="20">
                  <c:v>118.29261208804293</c:v>
                </c:pt>
                <c:pt idx="21">
                  <c:v>116.87686034891655</c:v>
                </c:pt>
                <c:pt idx="22">
                  <c:v>114.37150040237739</c:v>
                </c:pt>
                <c:pt idx="23">
                  <c:v>120.37189411124935</c:v>
                </c:pt>
                <c:pt idx="24">
                  <c:v>114.14196586845978</c:v>
                </c:pt>
                <c:pt idx="25">
                  <c:v>110.78707708618875</c:v>
                </c:pt>
                <c:pt idx="26">
                  <c:v>107.74756067853454</c:v>
                </c:pt>
                <c:pt idx="27">
                  <c:v>104.58191942518692</c:v>
                </c:pt>
                <c:pt idx="28">
                  <c:v>110.66820382275708</c:v>
                </c:pt>
              </c:numCache>
            </c:numRef>
          </c:val>
          <c:smooth val="1"/>
        </c:ser>
        <c:ser>
          <c:idx val="2"/>
          <c:order val="2"/>
          <c:tx>
            <c:strRef>
              <c:f>Price!$D$75</c:f>
              <c:strCache>
                <c:ptCount val="1"/>
                <c:pt idx="0">
                  <c:v>All</c:v>
                </c:pt>
              </c:strCache>
            </c:strRef>
          </c:tx>
          <c:spPr>
            <a:ln w="12700">
              <a:solidFill>
                <a:sysClr val="windowText" lastClr="000000"/>
              </a:solidFill>
            </a:ln>
          </c:spPr>
          <c:marker>
            <c:symbol val="none"/>
          </c:marker>
          <c:cat>
            <c:numRef>
              <c:f>Price!$A$76:$A$104</c:f>
              <c:numCache>
                <c:formatCode>mmm\-yy</c:formatCode>
                <c:ptCount val="29"/>
                <c:pt idx="0">
                  <c:v>39356</c:v>
                </c:pt>
                <c:pt idx="1">
                  <c:v>39387</c:v>
                </c:pt>
                <c:pt idx="2">
                  <c:v>39417</c:v>
                </c:pt>
                <c:pt idx="3">
                  <c:v>39448</c:v>
                </c:pt>
                <c:pt idx="4">
                  <c:v>39479</c:v>
                </c:pt>
                <c:pt idx="5">
                  <c:v>39508</c:v>
                </c:pt>
                <c:pt idx="6">
                  <c:v>39539</c:v>
                </c:pt>
                <c:pt idx="7">
                  <c:v>39569</c:v>
                </c:pt>
                <c:pt idx="8">
                  <c:v>39600</c:v>
                </c:pt>
                <c:pt idx="9">
                  <c:v>39630</c:v>
                </c:pt>
                <c:pt idx="10">
                  <c:v>39661</c:v>
                </c:pt>
                <c:pt idx="11">
                  <c:v>39692</c:v>
                </c:pt>
                <c:pt idx="12">
                  <c:v>39722</c:v>
                </c:pt>
                <c:pt idx="13">
                  <c:v>39753</c:v>
                </c:pt>
                <c:pt idx="14">
                  <c:v>39783</c:v>
                </c:pt>
                <c:pt idx="15">
                  <c:v>39814</c:v>
                </c:pt>
                <c:pt idx="16">
                  <c:v>39845</c:v>
                </c:pt>
                <c:pt idx="17">
                  <c:v>39873</c:v>
                </c:pt>
                <c:pt idx="18">
                  <c:v>39904</c:v>
                </c:pt>
                <c:pt idx="19">
                  <c:v>39934</c:v>
                </c:pt>
                <c:pt idx="20">
                  <c:v>39965</c:v>
                </c:pt>
                <c:pt idx="21">
                  <c:v>39995</c:v>
                </c:pt>
                <c:pt idx="22">
                  <c:v>40026</c:v>
                </c:pt>
                <c:pt idx="23">
                  <c:v>40057</c:v>
                </c:pt>
                <c:pt idx="24">
                  <c:v>40087</c:v>
                </c:pt>
                <c:pt idx="25">
                  <c:v>40118</c:v>
                </c:pt>
                <c:pt idx="26">
                  <c:v>40148</c:v>
                </c:pt>
                <c:pt idx="27">
                  <c:v>40179</c:v>
                </c:pt>
                <c:pt idx="28">
                  <c:v>40210</c:v>
                </c:pt>
              </c:numCache>
            </c:numRef>
          </c:cat>
          <c:val>
            <c:numRef>
              <c:f>Price!$D$76:$D$104</c:f>
              <c:numCache>
                <c:formatCode>_(* #,##0_);_(* \(#,##0\);_(* "-"_);_(@_)</c:formatCode>
                <c:ptCount val="29"/>
                <c:pt idx="0">
                  <c:v>100</c:v>
                </c:pt>
                <c:pt idx="1">
                  <c:v>106.35744295132388</c:v>
                </c:pt>
                <c:pt idx="2">
                  <c:v>108.74062291760687</c:v>
                </c:pt>
                <c:pt idx="3">
                  <c:v>118.7497910151358</c:v>
                </c:pt>
                <c:pt idx="4">
                  <c:v>109.63596776082731</c:v>
                </c:pt>
                <c:pt idx="5">
                  <c:v>146.56595642940928</c:v>
                </c:pt>
                <c:pt idx="6">
                  <c:v>133.38391653301107</c:v>
                </c:pt>
                <c:pt idx="7">
                  <c:v>156.56484939867227</c:v>
                </c:pt>
                <c:pt idx="8">
                  <c:v>155.645407455472</c:v>
                </c:pt>
                <c:pt idx="9">
                  <c:v>148.75798873056692</c:v>
                </c:pt>
                <c:pt idx="10">
                  <c:v>149.59078969189068</c:v>
                </c:pt>
                <c:pt idx="11">
                  <c:v>169.40009874596367</c:v>
                </c:pt>
                <c:pt idx="12">
                  <c:v>144.56442780738544</c:v>
                </c:pt>
                <c:pt idx="13">
                  <c:v>140.27213492557439</c:v>
                </c:pt>
                <c:pt idx="14">
                  <c:v>125.8166137504539</c:v>
                </c:pt>
                <c:pt idx="15">
                  <c:v>116.67399759828022</c:v>
                </c:pt>
                <c:pt idx="16">
                  <c:v>117.48492591574635</c:v>
                </c:pt>
                <c:pt idx="17">
                  <c:v>117.55513975886645</c:v>
                </c:pt>
                <c:pt idx="18">
                  <c:v>115.05121846968133</c:v>
                </c:pt>
                <c:pt idx="19">
                  <c:v>123.23047919547658</c:v>
                </c:pt>
                <c:pt idx="20">
                  <c:v>122.53722776669684</c:v>
                </c:pt>
                <c:pt idx="21">
                  <c:v>120.64703341901416</c:v>
                </c:pt>
                <c:pt idx="22">
                  <c:v>118.25988211371475</c:v>
                </c:pt>
                <c:pt idx="23">
                  <c:v>125.4224538750304</c:v>
                </c:pt>
                <c:pt idx="24">
                  <c:v>117.22257902481256</c:v>
                </c:pt>
                <c:pt idx="25">
                  <c:v>113.73456647229979</c:v>
                </c:pt>
                <c:pt idx="26">
                  <c:v>113.99409069218299</c:v>
                </c:pt>
                <c:pt idx="27">
                  <c:v>109.03957656896141</c:v>
                </c:pt>
                <c:pt idx="28">
                  <c:v>115.44498209227771</c:v>
                </c:pt>
              </c:numCache>
            </c:numRef>
          </c:val>
          <c:smooth val="1"/>
        </c:ser>
        <c:marker val="1"/>
        <c:axId val="118145024"/>
        <c:axId val="118146560"/>
      </c:lineChart>
      <c:lineChart>
        <c:grouping val="standard"/>
        <c:ser>
          <c:idx val="1"/>
          <c:order val="1"/>
          <c:tx>
            <c:strRef>
              <c:f>Price!$C$75</c:f>
              <c:strCache>
                <c:ptCount val="1"/>
                <c:pt idx="0">
                  <c:v>Villa RHS</c:v>
                </c:pt>
              </c:strCache>
            </c:strRef>
          </c:tx>
          <c:spPr>
            <a:ln w="12700">
              <a:solidFill>
                <a:srgbClr val="1F4A7F"/>
              </a:solidFill>
            </a:ln>
          </c:spPr>
          <c:marker>
            <c:symbol val="none"/>
          </c:marker>
          <c:cat>
            <c:numRef>
              <c:f>Price!$A$76:$A$104</c:f>
              <c:numCache>
                <c:formatCode>mmm\-yy</c:formatCode>
                <c:ptCount val="29"/>
                <c:pt idx="0">
                  <c:v>39356</c:v>
                </c:pt>
                <c:pt idx="1">
                  <c:v>39387</c:v>
                </c:pt>
                <c:pt idx="2">
                  <c:v>39417</c:v>
                </c:pt>
                <c:pt idx="3">
                  <c:v>39448</c:v>
                </c:pt>
                <c:pt idx="4">
                  <c:v>39479</c:v>
                </c:pt>
                <c:pt idx="5">
                  <c:v>39508</c:v>
                </c:pt>
                <c:pt idx="6">
                  <c:v>39539</c:v>
                </c:pt>
                <c:pt idx="7">
                  <c:v>39569</c:v>
                </c:pt>
                <c:pt idx="8">
                  <c:v>39600</c:v>
                </c:pt>
                <c:pt idx="9">
                  <c:v>39630</c:v>
                </c:pt>
                <c:pt idx="10">
                  <c:v>39661</c:v>
                </c:pt>
                <c:pt idx="11">
                  <c:v>39692</c:v>
                </c:pt>
                <c:pt idx="12">
                  <c:v>39722</c:v>
                </c:pt>
                <c:pt idx="13">
                  <c:v>39753</c:v>
                </c:pt>
                <c:pt idx="14">
                  <c:v>39783</c:v>
                </c:pt>
                <c:pt idx="15">
                  <c:v>39814</c:v>
                </c:pt>
                <c:pt idx="16">
                  <c:v>39845</c:v>
                </c:pt>
                <c:pt idx="17">
                  <c:v>39873</c:v>
                </c:pt>
                <c:pt idx="18">
                  <c:v>39904</c:v>
                </c:pt>
                <c:pt idx="19">
                  <c:v>39934</c:v>
                </c:pt>
                <c:pt idx="20">
                  <c:v>39965</c:v>
                </c:pt>
                <c:pt idx="21">
                  <c:v>39995</c:v>
                </c:pt>
                <c:pt idx="22">
                  <c:v>40026</c:v>
                </c:pt>
                <c:pt idx="23">
                  <c:v>40057</c:v>
                </c:pt>
                <c:pt idx="24">
                  <c:v>40087</c:v>
                </c:pt>
                <c:pt idx="25">
                  <c:v>40118</c:v>
                </c:pt>
                <c:pt idx="26">
                  <c:v>40148</c:v>
                </c:pt>
                <c:pt idx="27">
                  <c:v>40179</c:v>
                </c:pt>
                <c:pt idx="28">
                  <c:v>40210</c:v>
                </c:pt>
              </c:numCache>
            </c:numRef>
          </c:cat>
          <c:val>
            <c:numRef>
              <c:f>Price!$C$76:$C$104</c:f>
              <c:numCache>
                <c:formatCode>_(* #,##0_);_(* \(#,##0\);_(* "-"_);_(@_)</c:formatCode>
                <c:ptCount val="29"/>
                <c:pt idx="0">
                  <c:v>100</c:v>
                </c:pt>
                <c:pt idx="1">
                  <c:v>118.29950160518162</c:v>
                </c:pt>
                <c:pt idx="2">
                  <c:v>159.00416875569377</c:v>
                </c:pt>
                <c:pt idx="3">
                  <c:v>148.91625840254676</c:v>
                </c:pt>
                <c:pt idx="4">
                  <c:v>170.92062588201685</c:v>
                </c:pt>
                <c:pt idx="5">
                  <c:v>156.63084866644758</c:v>
                </c:pt>
                <c:pt idx="6">
                  <c:v>151.63386463791176</c:v>
                </c:pt>
                <c:pt idx="7">
                  <c:v>183.23490252378789</c:v>
                </c:pt>
                <c:pt idx="8">
                  <c:v>229.16963824000928</c:v>
                </c:pt>
                <c:pt idx="9">
                  <c:v>218.54091558955997</c:v>
                </c:pt>
                <c:pt idx="10">
                  <c:v>230.46341180102527</c:v>
                </c:pt>
                <c:pt idx="11">
                  <c:v>302.60895677232429</c:v>
                </c:pt>
                <c:pt idx="12">
                  <c:v>213.52759649661883</c:v>
                </c:pt>
                <c:pt idx="13">
                  <c:v>227.29079113100747</c:v>
                </c:pt>
                <c:pt idx="14">
                  <c:v>211.38403755017166</c:v>
                </c:pt>
                <c:pt idx="15">
                  <c:v>155.48599965505647</c:v>
                </c:pt>
                <c:pt idx="16">
                  <c:v>163.90799746291827</c:v>
                </c:pt>
                <c:pt idx="17">
                  <c:v>156.07499215697638</c:v>
                </c:pt>
                <c:pt idx="18">
                  <c:v>174.89585490515813</c:v>
                </c:pt>
                <c:pt idx="19">
                  <c:v>168.87778721354522</c:v>
                </c:pt>
                <c:pt idx="20">
                  <c:v>189.63704274158698</c:v>
                </c:pt>
                <c:pt idx="21">
                  <c:v>170.4970995680826</c:v>
                </c:pt>
                <c:pt idx="22">
                  <c:v>178.68743573585832</c:v>
                </c:pt>
                <c:pt idx="23">
                  <c:v>181.48366725300002</c:v>
                </c:pt>
                <c:pt idx="24">
                  <c:v>175.45050657164964</c:v>
                </c:pt>
                <c:pt idx="25">
                  <c:v>152.13380319690827</c:v>
                </c:pt>
                <c:pt idx="26">
                  <c:v>201.67975575877608</c:v>
                </c:pt>
                <c:pt idx="27">
                  <c:v>197.95810591057048</c:v>
                </c:pt>
                <c:pt idx="28">
                  <c:v>205.51036591597506</c:v>
                </c:pt>
              </c:numCache>
            </c:numRef>
          </c:val>
          <c:smooth val="1"/>
        </c:ser>
        <c:marker val="1"/>
        <c:axId val="118158080"/>
        <c:axId val="118148096"/>
      </c:lineChart>
      <c:dateAx>
        <c:axId val="118145024"/>
        <c:scaling>
          <c:orientation val="minMax"/>
        </c:scaling>
        <c:axPos val="b"/>
        <c:numFmt formatCode="[$-409]mmmmm;@" sourceLinked="0"/>
        <c:tickLblPos val="nextTo"/>
        <c:spPr>
          <a:ln w="6350">
            <a:solidFill>
              <a:srgbClr val="C0C0C0"/>
            </a:solidFill>
            <a:prstDash val="solid"/>
          </a:ln>
        </c:spPr>
        <c:txPr>
          <a:bodyPr rot="0" vert="horz"/>
          <a:lstStyle/>
          <a:p>
            <a:pPr>
              <a:defRPr/>
            </a:pPr>
            <a:endParaRPr lang="en-US"/>
          </a:p>
        </c:txPr>
        <c:crossAx val="118146560"/>
        <c:crossesAt val="0.30000000000000032"/>
        <c:auto val="1"/>
        <c:lblOffset val="100"/>
        <c:baseTimeUnit val="days"/>
        <c:majorUnit val="2"/>
        <c:majorTimeUnit val="months"/>
        <c:minorUnit val="2"/>
        <c:minorTimeUnit val="months"/>
      </c:dateAx>
      <c:valAx>
        <c:axId val="118146560"/>
        <c:scaling>
          <c:orientation val="minMax"/>
          <c:max val="175"/>
          <c:min val="100"/>
        </c:scaling>
        <c:axPos val="l"/>
        <c:numFmt formatCode="0" sourceLinked="0"/>
        <c:tickLblPos val="nextTo"/>
        <c:spPr>
          <a:ln w="12686">
            <a:solidFill>
              <a:srgbClr val="FFFFFF"/>
            </a:solidFill>
            <a:prstDash val="solid"/>
          </a:ln>
        </c:spPr>
        <c:txPr>
          <a:bodyPr rot="0" vert="horz"/>
          <a:lstStyle/>
          <a:p>
            <a:pPr>
              <a:defRPr/>
            </a:pPr>
            <a:endParaRPr lang="en-US"/>
          </a:p>
        </c:txPr>
        <c:crossAx val="118145024"/>
        <c:crosses val="autoZero"/>
        <c:crossBetween val="between"/>
        <c:majorUnit val="15"/>
      </c:valAx>
      <c:valAx>
        <c:axId val="118148096"/>
        <c:scaling>
          <c:orientation val="minMax"/>
          <c:max val="350"/>
          <c:min val="100"/>
        </c:scaling>
        <c:axPos val="r"/>
        <c:numFmt formatCode="_(* #,##0_);_(* \(#,##0\);_(* &quot;-&quot;_);_(@_)" sourceLinked="1"/>
        <c:tickLblPos val="nextTo"/>
        <c:crossAx val="118158080"/>
        <c:crosses val="max"/>
        <c:crossBetween val="between"/>
        <c:majorUnit val="50"/>
      </c:valAx>
      <c:dateAx>
        <c:axId val="118158080"/>
        <c:scaling>
          <c:orientation val="minMax"/>
        </c:scaling>
        <c:delete val="1"/>
        <c:axPos val="b"/>
        <c:numFmt formatCode="mmm\-yy" sourceLinked="1"/>
        <c:tickLblPos val="none"/>
        <c:crossAx val="118148096"/>
        <c:crosses val="autoZero"/>
        <c:auto val="1"/>
        <c:lblOffset val="100"/>
        <c:baseTimeUnit val="days"/>
      </c:dateAx>
      <c:spPr>
        <a:noFill/>
        <a:ln w="25375">
          <a:noFill/>
        </a:ln>
      </c:spPr>
    </c:plotArea>
    <c:legend>
      <c:legendPos val="t"/>
      <c:layout>
        <c:manualLayout>
          <c:xMode val="edge"/>
          <c:yMode val="edge"/>
          <c:x val="0"/>
          <c:y val="0.9175706474976757"/>
          <c:w val="1"/>
          <c:h val="8.0626864299195203E-2"/>
        </c:manualLayout>
      </c:layout>
      <c:spPr>
        <a:noFill/>
        <a:ln w="25373">
          <a:noFill/>
        </a:ln>
      </c:spPr>
    </c:legend>
    <c:plotVisOnly val="1"/>
    <c:dispBlanksAs val="gap"/>
  </c:chart>
  <c:spPr>
    <a:noFill/>
    <a:ln>
      <a:noFill/>
    </a:ln>
  </c:spPr>
  <c:txPr>
    <a:bodyPr/>
    <a:lstStyle/>
    <a:p>
      <a:pPr>
        <a:defRPr sz="500" b="0" i="0" u="none" strike="noStrike" baseline="0">
          <a:solidFill>
            <a:srgbClr val="000000"/>
          </a:solidFill>
          <a:latin typeface="+mn-lt"/>
          <a:ea typeface="Verdana" pitchFamily="34" charset="0"/>
          <a:cs typeface="Verdana"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888"/>
          <c:h val="0.8811188811188817"/>
        </c:manualLayout>
      </c:layout>
      <c:lineChart>
        <c:grouping val="standard"/>
        <c:ser>
          <c:idx val="0"/>
          <c:order val="0"/>
          <c:tx>
            <c:strRef>
              <c:f>Sheet1!$B$1</c:f>
              <c:strCache>
                <c:ptCount val="1"/>
                <c:pt idx="0">
                  <c:v>Total Residential Value</c:v>
                </c:pt>
              </c:strCache>
            </c:strRef>
          </c:tx>
          <c:spPr>
            <a:ln w="6350" cmpd="sng">
              <a:solidFill>
                <a:srgbClr val="003366"/>
              </a:solidFill>
              <a:prstDash val="solid"/>
            </a:ln>
          </c:spPr>
          <c:marker>
            <c:symbol val="none"/>
          </c:marker>
          <c:cat>
            <c:numRef>
              <c:f>Sheet1!$A$2:$A$281</c:f>
              <c:numCache>
                <c:formatCode>mmm\-yy</c:formatCode>
                <c:ptCount val="280"/>
                <c:pt idx="0">
                  <c:v>39356</c:v>
                </c:pt>
                <c:pt idx="1">
                  <c:v>39387</c:v>
                </c:pt>
                <c:pt idx="2">
                  <c:v>39417</c:v>
                </c:pt>
                <c:pt idx="3">
                  <c:v>39448</c:v>
                </c:pt>
                <c:pt idx="4">
                  <c:v>39479</c:v>
                </c:pt>
                <c:pt idx="5">
                  <c:v>39508</c:v>
                </c:pt>
                <c:pt idx="6">
                  <c:v>39539</c:v>
                </c:pt>
                <c:pt idx="7">
                  <c:v>39569</c:v>
                </c:pt>
                <c:pt idx="8">
                  <c:v>39600</c:v>
                </c:pt>
                <c:pt idx="9">
                  <c:v>39630</c:v>
                </c:pt>
                <c:pt idx="10">
                  <c:v>39661</c:v>
                </c:pt>
                <c:pt idx="11">
                  <c:v>39692</c:v>
                </c:pt>
                <c:pt idx="12">
                  <c:v>39722</c:v>
                </c:pt>
                <c:pt idx="13">
                  <c:v>39753</c:v>
                </c:pt>
                <c:pt idx="14">
                  <c:v>39783</c:v>
                </c:pt>
                <c:pt idx="15">
                  <c:v>39814</c:v>
                </c:pt>
                <c:pt idx="16">
                  <c:v>39845</c:v>
                </c:pt>
                <c:pt idx="17">
                  <c:v>39873</c:v>
                </c:pt>
                <c:pt idx="18">
                  <c:v>39904</c:v>
                </c:pt>
                <c:pt idx="19">
                  <c:v>39934</c:v>
                </c:pt>
                <c:pt idx="20">
                  <c:v>39965</c:v>
                </c:pt>
                <c:pt idx="21">
                  <c:v>39995</c:v>
                </c:pt>
                <c:pt idx="22">
                  <c:v>40026</c:v>
                </c:pt>
                <c:pt idx="23">
                  <c:v>40057</c:v>
                </c:pt>
                <c:pt idx="24">
                  <c:v>40087</c:v>
                </c:pt>
                <c:pt idx="25">
                  <c:v>40118</c:v>
                </c:pt>
                <c:pt idx="26">
                  <c:v>40148</c:v>
                </c:pt>
                <c:pt idx="27">
                  <c:v>40179</c:v>
                </c:pt>
                <c:pt idx="28">
                  <c:v>40210</c:v>
                </c:pt>
              </c:numCache>
            </c:numRef>
          </c:cat>
          <c:val>
            <c:numRef>
              <c:f>Sheet1!$B$2:$B$281</c:f>
              <c:numCache>
                <c:formatCode>0%</c:formatCode>
                <c:ptCount val="280"/>
                <c:pt idx="0">
                  <c:v>0.11288634489517087</c:v>
                </c:pt>
                <c:pt idx="1">
                  <c:v>0.18720088328229859</c:v>
                </c:pt>
                <c:pt idx="2">
                  <c:v>0.13904167601074419</c:v>
                </c:pt>
                <c:pt idx="3">
                  <c:v>0.22293053921901765</c:v>
                </c:pt>
                <c:pt idx="4">
                  <c:v>0.18610531495875052</c:v>
                </c:pt>
                <c:pt idx="5">
                  <c:v>0.23518370766350893</c:v>
                </c:pt>
                <c:pt idx="6">
                  <c:v>0.15700491437378028</c:v>
                </c:pt>
                <c:pt idx="7">
                  <c:v>0.40591274113546266</c:v>
                </c:pt>
                <c:pt idx="8">
                  <c:v>0.32538293361298293</c:v>
                </c:pt>
                <c:pt idx="9">
                  <c:v>0.27144416230296492</c:v>
                </c:pt>
                <c:pt idx="10">
                  <c:v>0.21677484430173979</c:v>
                </c:pt>
                <c:pt idx="11">
                  <c:v>0.27868309355088461</c:v>
                </c:pt>
                <c:pt idx="12">
                  <c:v>0.26229745449047848</c:v>
                </c:pt>
                <c:pt idx="13">
                  <c:v>0.19185187316180638</c:v>
                </c:pt>
                <c:pt idx="14">
                  <c:v>0.17549778962330473</c:v>
                </c:pt>
                <c:pt idx="15">
                  <c:v>0.14356245836130732</c:v>
                </c:pt>
                <c:pt idx="16">
                  <c:v>0.19100478043838989</c:v>
                </c:pt>
                <c:pt idx="17">
                  <c:v>0.13332045931754888</c:v>
                </c:pt>
                <c:pt idx="18">
                  <c:v>7.4287386037233713E-2</c:v>
                </c:pt>
                <c:pt idx="19">
                  <c:v>0.19043198291807689</c:v>
                </c:pt>
                <c:pt idx="20">
                  <c:v>0.17903847676772869</c:v>
                </c:pt>
                <c:pt idx="21">
                  <c:v>0.17109717979597044</c:v>
                </c:pt>
                <c:pt idx="22">
                  <c:v>0.31441170509666966</c:v>
                </c:pt>
                <c:pt idx="23">
                  <c:v>0.32171801121650284</c:v>
                </c:pt>
                <c:pt idx="24">
                  <c:v>0.24128567860986808</c:v>
                </c:pt>
                <c:pt idx="25">
                  <c:v>0.21140105631481942</c:v>
                </c:pt>
                <c:pt idx="26">
                  <c:v>0.25617176654448831</c:v>
                </c:pt>
                <c:pt idx="27">
                  <c:v>0.23246803274581013</c:v>
                </c:pt>
                <c:pt idx="28">
                  <c:v>0.14732335772893346</c:v>
                </c:pt>
              </c:numCache>
            </c:numRef>
          </c:val>
          <c:smooth val="1"/>
        </c:ser>
        <c:ser>
          <c:idx val="1"/>
          <c:order val="1"/>
          <c:tx>
            <c:strRef>
              <c:f>Sheet1!$C$1</c:f>
              <c:strCache>
                <c:ptCount val="1"/>
                <c:pt idx="0">
                  <c:v>Total Residential Vol.</c:v>
                </c:pt>
              </c:strCache>
            </c:strRef>
          </c:tx>
          <c:spPr>
            <a:ln w="6350">
              <a:solidFill>
                <a:srgbClr val="C0C0C0"/>
              </a:solidFill>
              <a:prstDash val="solid"/>
            </a:ln>
          </c:spPr>
          <c:marker>
            <c:symbol val="none"/>
          </c:marker>
          <c:cat>
            <c:numRef>
              <c:f>Sheet1!$A$2:$A$281</c:f>
              <c:numCache>
                <c:formatCode>mmm\-yy</c:formatCode>
                <c:ptCount val="280"/>
                <c:pt idx="0">
                  <c:v>39356</c:v>
                </c:pt>
                <c:pt idx="1">
                  <c:v>39387</c:v>
                </c:pt>
                <c:pt idx="2">
                  <c:v>39417</c:v>
                </c:pt>
                <c:pt idx="3">
                  <c:v>39448</c:v>
                </c:pt>
                <c:pt idx="4">
                  <c:v>39479</c:v>
                </c:pt>
                <c:pt idx="5">
                  <c:v>39508</c:v>
                </c:pt>
                <c:pt idx="6">
                  <c:v>39539</c:v>
                </c:pt>
                <c:pt idx="7">
                  <c:v>39569</c:v>
                </c:pt>
                <c:pt idx="8">
                  <c:v>39600</c:v>
                </c:pt>
                <c:pt idx="9">
                  <c:v>39630</c:v>
                </c:pt>
                <c:pt idx="10">
                  <c:v>39661</c:v>
                </c:pt>
                <c:pt idx="11">
                  <c:v>39692</c:v>
                </c:pt>
                <c:pt idx="12">
                  <c:v>39722</c:v>
                </c:pt>
                <c:pt idx="13">
                  <c:v>39753</c:v>
                </c:pt>
                <c:pt idx="14">
                  <c:v>39783</c:v>
                </c:pt>
                <c:pt idx="15">
                  <c:v>39814</c:v>
                </c:pt>
                <c:pt idx="16">
                  <c:v>39845</c:v>
                </c:pt>
                <c:pt idx="17">
                  <c:v>39873</c:v>
                </c:pt>
                <c:pt idx="18">
                  <c:v>39904</c:v>
                </c:pt>
                <c:pt idx="19">
                  <c:v>39934</c:v>
                </c:pt>
                <c:pt idx="20">
                  <c:v>39965</c:v>
                </c:pt>
                <c:pt idx="21">
                  <c:v>39995</c:v>
                </c:pt>
                <c:pt idx="22">
                  <c:v>40026</c:v>
                </c:pt>
                <c:pt idx="23">
                  <c:v>40057</c:v>
                </c:pt>
                <c:pt idx="24">
                  <c:v>40087</c:v>
                </c:pt>
                <c:pt idx="25">
                  <c:v>40118</c:v>
                </c:pt>
                <c:pt idx="26">
                  <c:v>40148</c:v>
                </c:pt>
                <c:pt idx="27">
                  <c:v>40179</c:v>
                </c:pt>
                <c:pt idx="28">
                  <c:v>40210</c:v>
                </c:pt>
              </c:numCache>
            </c:numRef>
          </c:cat>
          <c:val>
            <c:numRef>
              <c:f>Sheet1!$C$2:$C$281</c:f>
              <c:numCache>
                <c:formatCode>0%</c:formatCode>
                <c:ptCount val="280"/>
                <c:pt idx="0">
                  <c:v>9.2961487383798141E-2</c:v>
                </c:pt>
                <c:pt idx="1">
                  <c:v>0.13627992633517497</c:v>
                </c:pt>
                <c:pt idx="2">
                  <c:v>0.14486921529175051</c:v>
                </c:pt>
                <c:pt idx="3">
                  <c:v>0.15432098765432167</c:v>
                </c:pt>
                <c:pt idx="4">
                  <c:v>0.18634686346863474</c:v>
                </c:pt>
                <c:pt idx="5">
                  <c:v>0.16629711751663048</c:v>
                </c:pt>
                <c:pt idx="6">
                  <c:v>0.14902280130293191</c:v>
                </c:pt>
                <c:pt idx="7">
                  <c:v>0.36413043478260881</c:v>
                </c:pt>
                <c:pt idx="8">
                  <c:v>0.21373390557940031</c:v>
                </c:pt>
                <c:pt idx="9">
                  <c:v>0.18169934640522992</c:v>
                </c:pt>
                <c:pt idx="10">
                  <c:v>0.13975155279503104</c:v>
                </c:pt>
                <c:pt idx="11">
                  <c:v>0.12397372742200373</c:v>
                </c:pt>
                <c:pt idx="12">
                  <c:v>0.18831615120274944</c:v>
                </c:pt>
                <c:pt idx="13">
                  <c:v>8.718138160325048E-2</c:v>
                </c:pt>
                <c:pt idx="14">
                  <c:v>7.7611940298507459E-2</c:v>
                </c:pt>
                <c:pt idx="15">
                  <c:v>6.4077669902912943E-2</c:v>
                </c:pt>
                <c:pt idx="16">
                  <c:v>0.11321721311475373</c:v>
                </c:pt>
                <c:pt idx="17">
                  <c:v>8.5126286248830701E-2</c:v>
                </c:pt>
                <c:pt idx="18">
                  <c:v>6.1430793157076523E-2</c:v>
                </c:pt>
                <c:pt idx="19">
                  <c:v>9.1010608598548301E-2</c:v>
                </c:pt>
                <c:pt idx="20">
                  <c:v>0.12102689486552567</c:v>
                </c:pt>
                <c:pt idx="21">
                  <c:v>0.11458333333333333</c:v>
                </c:pt>
                <c:pt idx="22">
                  <c:v>0.30555555555555558</c:v>
                </c:pt>
                <c:pt idx="23">
                  <c:v>0.24690082644628161</c:v>
                </c:pt>
                <c:pt idx="24">
                  <c:v>0.13517338995046024</c:v>
                </c:pt>
                <c:pt idx="25">
                  <c:v>0.1254125412541254</c:v>
                </c:pt>
                <c:pt idx="26">
                  <c:v>0.22443890274314221</c:v>
                </c:pt>
                <c:pt idx="27">
                  <c:v>0.16331658291457288</c:v>
                </c:pt>
                <c:pt idx="28">
                  <c:v>0.11372867587327423</c:v>
                </c:pt>
              </c:numCache>
            </c:numRef>
          </c:val>
          <c:smooth val="1"/>
        </c:ser>
        <c:marker val="1"/>
        <c:axId val="106222336"/>
        <c:axId val="106223872"/>
      </c:lineChart>
      <c:dateAx>
        <c:axId val="106222336"/>
        <c:scaling>
          <c:orientation val="minMax"/>
        </c:scaling>
        <c:axPos val="b"/>
        <c:numFmt formatCode="[$-409]mmmmm;@" sourceLinked="0"/>
        <c:tickLblPos val="low"/>
        <c:spPr>
          <a:ln w="6350">
            <a:solidFill>
              <a:srgbClr val="C0C0C0"/>
            </a:solidFill>
            <a:prstDash val="solid"/>
          </a:ln>
        </c:spPr>
        <c:txPr>
          <a:bodyPr rot="0" vert="horz"/>
          <a:lstStyle/>
          <a:p>
            <a:pPr>
              <a:defRPr/>
            </a:pPr>
            <a:endParaRPr lang="en-US"/>
          </a:p>
        </c:txPr>
        <c:crossAx val="106223872"/>
        <c:crosses val="autoZero"/>
        <c:auto val="1"/>
        <c:lblOffset val="100"/>
        <c:baseTimeUnit val="months"/>
        <c:majorUnit val="2"/>
        <c:majorTimeUnit val="months"/>
        <c:minorUnit val="2"/>
        <c:minorTimeUnit val="days"/>
      </c:dateAx>
      <c:valAx>
        <c:axId val="106223872"/>
        <c:scaling>
          <c:orientation val="minMax"/>
          <c:max val="0.45"/>
          <c:min val="0.05"/>
        </c:scaling>
        <c:axPos val="l"/>
        <c:numFmt formatCode="0%" sourceLinked="0"/>
        <c:tickLblPos val="nextTo"/>
        <c:spPr>
          <a:ln w="12686">
            <a:solidFill>
              <a:srgbClr val="FFFFFF">
                <a:lumMod val="65000"/>
              </a:srgbClr>
            </a:solidFill>
            <a:prstDash val="solid"/>
          </a:ln>
        </c:spPr>
        <c:txPr>
          <a:bodyPr rot="0" vert="horz"/>
          <a:lstStyle/>
          <a:p>
            <a:pPr>
              <a:defRPr/>
            </a:pPr>
            <a:endParaRPr lang="en-US"/>
          </a:p>
        </c:txPr>
        <c:crossAx val="106222336"/>
        <c:crosses val="autoZero"/>
        <c:crossBetween val="midCat"/>
        <c:majorUnit val="0.05"/>
        <c:minorUnit val="1.0000000000000005E-2"/>
      </c:valAx>
      <c:spPr>
        <a:noFill/>
        <a:ln w="25375">
          <a:noFill/>
        </a:ln>
      </c:spPr>
    </c:plotArea>
    <c:legend>
      <c:legendPos val="b"/>
      <c:layout>
        <c:manualLayout>
          <c:xMode val="edge"/>
          <c:yMode val="edge"/>
          <c:x val="0"/>
          <c:y val="0.9283358464328898"/>
          <c:w val="1"/>
          <c:h val="7.1664153567115696E-2"/>
        </c:manualLayout>
      </c:layout>
      <c:overlay val="1"/>
      <c:spPr>
        <a:noFill/>
        <a:ln w="25373">
          <a:noFill/>
        </a:ln>
      </c:spPr>
    </c:legend>
    <c:plotVisOnly val="1"/>
    <c:dispBlanksAs val="gap"/>
  </c:chart>
  <c:spPr>
    <a:noFill/>
    <a:ln>
      <a:noFill/>
    </a:ln>
  </c:spPr>
  <c:txPr>
    <a:bodyPr/>
    <a:lstStyle/>
    <a:p>
      <a:pPr>
        <a:defRPr sz="500" b="0" i="0" u="none" strike="noStrike" baseline="0">
          <a:solidFill>
            <a:srgbClr val="000000"/>
          </a:solidFill>
          <a:latin typeface="+mn-lt"/>
          <a:ea typeface="Verdana" pitchFamily="34" charset="0"/>
          <a:cs typeface="Verdana" pitchFamily="34" charset="0"/>
        </a:defRPr>
      </a:pPr>
      <a:endParaRPr lang="en-US"/>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7115409117549776"/>
          <c:y val="5.9863945578231534E-2"/>
          <c:w val="0.71183395764850643"/>
          <c:h val="0.65856992175043538"/>
        </c:manualLayout>
      </c:layout>
      <c:barChart>
        <c:barDir val="col"/>
        <c:grouping val="stacked"/>
        <c:ser>
          <c:idx val="0"/>
          <c:order val="0"/>
          <c:tx>
            <c:strRef>
              <c:f>'Take up rate'!$B$15</c:f>
              <c:strCache>
                <c:ptCount val="1"/>
                <c:pt idx="0">
                  <c:v>Transaction Volume</c:v>
                </c:pt>
              </c:strCache>
            </c:strRef>
          </c:tx>
          <c:spPr>
            <a:solidFill>
              <a:srgbClr val="1F4A7F"/>
            </a:solidFill>
            <a:ln>
              <a:noFill/>
            </a:ln>
          </c:spPr>
          <c:cat>
            <c:numRef>
              <c:f>'Take up rate'!$C$9:$T$9</c:f>
              <c:numCache>
                <c:formatCode>mmm\-yy</c:formatCode>
                <c:ptCount val="18"/>
                <c:pt idx="0">
                  <c:v>39692</c:v>
                </c:pt>
                <c:pt idx="1">
                  <c:v>39722</c:v>
                </c:pt>
                <c:pt idx="2">
                  <c:v>39753</c:v>
                </c:pt>
                <c:pt idx="3">
                  <c:v>39783</c:v>
                </c:pt>
                <c:pt idx="4">
                  <c:v>39814</c:v>
                </c:pt>
                <c:pt idx="5">
                  <c:v>39845</c:v>
                </c:pt>
                <c:pt idx="6">
                  <c:v>39873</c:v>
                </c:pt>
                <c:pt idx="7">
                  <c:v>39904</c:v>
                </c:pt>
                <c:pt idx="8">
                  <c:v>39934</c:v>
                </c:pt>
                <c:pt idx="9">
                  <c:v>39965</c:v>
                </c:pt>
                <c:pt idx="10">
                  <c:v>39995</c:v>
                </c:pt>
                <c:pt idx="11">
                  <c:v>40026</c:v>
                </c:pt>
                <c:pt idx="12">
                  <c:v>40057</c:v>
                </c:pt>
                <c:pt idx="13">
                  <c:v>40087</c:v>
                </c:pt>
                <c:pt idx="14">
                  <c:v>40118</c:v>
                </c:pt>
                <c:pt idx="15">
                  <c:v>40148</c:v>
                </c:pt>
                <c:pt idx="16">
                  <c:v>40179</c:v>
                </c:pt>
                <c:pt idx="17">
                  <c:v>40210</c:v>
                </c:pt>
              </c:numCache>
            </c:numRef>
          </c:cat>
          <c:val>
            <c:numRef>
              <c:f>'Take up rate'!$C$15:$T$15</c:f>
              <c:numCache>
                <c:formatCode>_(* #,##0_);_(* \(#,##0\);_(* "-"_);_(@_)</c:formatCode>
                <c:ptCount val="18"/>
                <c:pt idx="0">
                  <c:v>1218</c:v>
                </c:pt>
                <c:pt idx="1">
                  <c:v>1455</c:v>
                </c:pt>
                <c:pt idx="2">
                  <c:v>2707</c:v>
                </c:pt>
                <c:pt idx="3">
                  <c:v>1675</c:v>
                </c:pt>
                <c:pt idx="4">
                  <c:v>3090</c:v>
                </c:pt>
                <c:pt idx="5">
                  <c:v>1952</c:v>
                </c:pt>
                <c:pt idx="6">
                  <c:v>2138</c:v>
                </c:pt>
                <c:pt idx="7">
                  <c:v>2572</c:v>
                </c:pt>
                <c:pt idx="8">
                  <c:v>1791</c:v>
                </c:pt>
                <c:pt idx="9">
                  <c:v>2454</c:v>
                </c:pt>
                <c:pt idx="10">
                  <c:v>1536</c:v>
                </c:pt>
                <c:pt idx="11">
                  <c:v>1224</c:v>
                </c:pt>
                <c:pt idx="12">
                  <c:v>968</c:v>
                </c:pt>
                <c:pt idx="13">
                  <c:v>1413</c:v>
                </c:pt>
                <c:pt idx="14">
                  <c:v>1515</c:v>
                </c:pt>
                <c:pt idx="15">
                  <c:v>1203</c:v>
                </c:pt>
                <c:pt idx="16" formatCode="General">
                  <c:v>789</c:v>
                </c:pt>
                <c:pt idx="17" formatCode="General">
                  <c:v>993</c:v>
                </c:pt>
              </c:numCache>
            </c:numRef>
          </c:val>
        </c:ser>
        <c:overlap val="100"/>
        <c:axId val="118222208"/>
        <c:axId val="118404224"/>
      </c:barChart>
      <c:lineChart>
        <c:grouping val="standard"/>
        <c:ser>
          <c:idx val="2"/>
          <c:order val="1"/>
          <c:tx>
            <c:strRef>
              <c:f>'Take up rate'!$B$12</c:f>
              <c:strCache>
                <c:ptCount val="1"/>
                <c:pt idx="0">
                  <c:v>Take-up rate</c:v>
                </c:pt>
              </c:strCache>
            </c:strRef>
          </c:tx>
          <c:spPr>
            <a:ln w="12700">
              <a:solidFill>
                <a:schemeClr val="tx1"/>
              </a:solidFill>
            </a:ln>
          </c:spPr>
          <c:marker>
            <c:symbol val="none"/>
          </c:marker>
          <c:cat>
            <c:numRef>
              <c:f>'Take up rate'!$C$9:$T$9</c:f>
              <c:numCache>
                <c:formatCode>mmm\-yy</c:formatCode>
                <c:ptCount val="18"/>
                <c:pt idx="0">
                  <c:v>39692</c:v>
                </c:pt>
                <c:pt idx="1">
                  <c:v>39722</c:v>
                </c:pt>
                <c:pt idx="2">
                  <c:v>39753</c:v>
                </c:pt>
                <c:pt idx="3">
                  <c:v>39783</c:v>
                </c:pt>
                <c:pt idx="4">
                  <c:v>39814</c:v>
                </c:pt>
                <c:pt idx="5">
                  <c:v>39845</c:v>
                </c:pt>
                <c:pt idx="6">
                  <c:v>39873</c:v>
                </c:pt>
                <c:pt idx="7">
                  <c:v>39904</c:v>
                </c:pt>
                <c:pt idx="8">
                  <c:v>39934</c:v>
                </c:pt>
                <c:pt idx="9">
                  <c:v>39965</c:v>
                </c:pt>
                <c:pt idx="10">
                  <c:v>39995</c:v>
                </c:pt>
                <c:pt idx="11">
                  <c:v>40026</c:v>
                </c:pt>
                <c:pt idx="12">
                  <c:v>40057</c:v>
                </c:pt>
                <c:pt idx="13">
                  <c:v>40087</c:v>
                </c:pt>
                <c:pt idx="14">
                  <c:v>40118</c:v>
                </c:pt>
                <c:pt idx="15">
                  <c:v>40148</c:v>
                </c:pt>
                <c:pt idx="16">
                  <c:v>40179</c:v>
                </c:pt>
                <c:pt idx="17">
                  <c:v>40210</c:v>
                </c:pt>
              </c:numCache>
            </c:numRef>
          </c:cat>
          <c:val>
            <c:numRef>
              <c:f>'Take up rate'!$C$12:$T$12</c:f>
              <c:numCache>
                <c:formatCode>0.0</c:formatCode>
                <c:ptCount val="18"/>
                <c:pt idx="0">
                  <c:v>9.1735084838533112</c:v>
                </c:pt>
                <c:pt idx="1">
                  <c:v>8.5727376861397548</c:v>
                </c:pt>
                <c:pt idx="2">
                  <c:v>6.2455362640068746</c:v>
                </c:pt>
                <c:pt idx="3">
                  <c:v>10.845771144278608</c:v>
                </c:pt>
                <c:pt idx="4">
                  <c:v>5.8338727076591184</c:v>
                </c:pt>
                <c:pt idx="5">
                  <c:v>8.8900273224043733</c:v>
                </c:pt>
                <c:pt idx="6">
                  <c:v>7.7751792952915739</c:v>
                </c:pt>
                <c:pt idx="7">
                  <c:v>6.2791601866252034</c:v>
                </c:pt>
                <c:pt idx="8">
                  <c:v>8.168620882188721</c:v>
                </c:pt>
                <c:pt idx="9">
                  <c:v>4.1021461559358876</c:v>
                </c:pt>
                <c:pt idx="10">
                  <c:v>5.6249999999999751</c:v>
                </c:pt>
                <c:pt idx="11">
                  <c:v>6.9308278867102402</c:v>
                </c:pt>
                <c:pt idx="12">
                  <c:v>8.5055096418732798</c:v>
                </c:pt>
                <c:pt idx="13">
                  <c:v>5.0011795234725174</c:v>
                </c:pt>
                <c:pt idx="14">
                  <c:v>3.7315731573157342</c:v>
                </c:pt>
                <c:pt idx="15">
                  <c:v>4.3280687170961487</c:v>
                </c:pt>
                <c:pt idx="16">
                  <c:v>6.2568652302492609</c:v>
                </c:pt>
                <c:pt idx="17">
                  <c:v>5.2433702584759772</c:v>
                </c:pt>
              </c:numCache>
            </c:numRef>
          </c:val>
          <c:smooth val="1"/>
        </c:ser>
        <c:marker val="1"/>
        <c:axId val="118405760"/>
        <c:axId val="118423936"/>
      </c:lineChart>
      <c:dateAx>
        <c:axId val="118222208"/>
        <c:scaling>
          <c:orientation val="minMax"/>
        </c:scaling>
        <c:axPos val="b"/>
        <c:numFmt formatCode="[$-409]mmmmm;@" sourceLinked="0"/>
        <c:tickLblPos val="nextTo"/>
        <c:txPr>
          <a:bodyPr rot="0" vert="horz"/>
          <a:lstStyle/>
          <a:p>
            <a:pPr>
              <a:defRPr/>
            </a:pPr>
            <a:endParaRPr lang="en-US"/>
          </a:p>
        </c:txPr>
        <c:crossAx val="118404224"/>
        <c:crosses val="autoZero"/>
        <c:auto val="1"/>
        <c:lblOffset val="100"/>
        <c:majorUnit val="1"/>
        <c:majorTimeUnit val="months"/>
        <c:minorUnit val="1"/>
        <c:minorTimeUnit val="months"/>
      </c:dateAx>
      <c:valAx>
        <c:axId val="118404224"/>
        <c:scaling>
          <c:orientation val="minMax"/>
        </c:scaling>
        <c:axPos val="l"/>
        <c:majorGridlines>
          <c:spPr>
            <a:ln>
              <a:solidFill>
                <a:schemeClr val="bg1">
                  <a:lumMod val="75000"/>
                </a:schemeClr>
              </a:solidFill>
            </a:ln>
          </c:spPr>
        </c:majorGridlines>
        <c:numFmt formatCode="_(* #,##0_);_(* \(#,##0\);_(* &quot;-&quot;_);_(@_)" sourceLinked="1"/>
        <c:tickLblPos val="nextTo"/>
        <c:crossAx val="118222208"/>
        <c:crosses val="autoZero"/>
        <c:crossBetween val="between"/>
      </c:valAx>
      <c:dateAx>
        <c:axId val="118405760"/>
        <c:scaling>
          <c:orientation val="minMax"/>
        </c:scaling>
        <c:delete val="1"/>
        <c:axPos val="b"/>
        <c:numFmt formatCode="mmm\-yy" sourceLinked="1"/>
        <c:tickLblPos val="none"/>
        <c:crossAx val="118423936"/>
        <c:crosses val="autoZero"/>
        <c:auto val="1"/>
        <c:lblOffset val="100"/>
      </c:dateAx>
      <c:valAx>
        <c:axId val="118423936"/>
        <c:scaling>
          <c:orientation val="minMax"/>
          <c:min val="3.5"/>
        </c:scaling>
        <c:axPos val="r"/>
        <c:numFmt formatCode="0" sourceLinked="0"/>
        <c:tickLblPos val="nextTo"/>
        <c:crossAx val="118405760"/>
        <c:crosses val="max"/>
        <c:crossBetween val="between"/>
        <c:majorUnit val="1.5"/>
      </c:valAx>
    </c:plotArea>
    <c:legend>
      <c:legendPos val="b"/>
      <c:layout>
        <c:manualLayout>
          <c:xMode val="edge"/>
          <c:yMode val="edge"/>
          <c:x val="7.6996661825039323E-2"/>
          <c:y val="0.87078751581898362"/>
          <c:w val="0.85895166016869973"/>
          <c:h val="0.12921248418101863"/>
        </c:manualLayout>
      </c:layout>
    </c:legend>
    <c:plotVisOnly val="1"/>
    <c:dispBlanksAs val="gap"/>
  </c:chart>
  <c:spPr>
    <a:ln>
      <a:noFill/>
    </a:ln>
  </c:spPr>
  <c:txPr>
    <a:bodyPr/>
    <a:lstStyle/>
    <a:p>
      <a:pPr>
        <a:defRPr sz="500">
          <a:latin typeface="+mn-lt"/>
          <a:ea typeface="Verdana" pitchFamily="34" charset="0"/>
          <a:cs typeface="Verdana" pitchFamily="34" charset="0"/>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0.16296</cdr:x>
      <cdr:y>0.04206</cdr:y>
    </cdr:from>
    <cdr:to>
      <cdr:x>0.41128</cdr:x>
      <cdr:y>0.23314</cdr:y>
    </cdr:to>
    <cdr:sp macro="" textlink="">
      <cdr:nvSpPr>
        <cdr:cNvPr id="2" name="TextBox 1"/>
        <cdr:cNvSpPr txBox="1"/>
      </cdr:nvSpPr>
      <cdr:spPr>
        <a:xfrm xmlns:a="http://schemas.openxmlformats.org/drawingml/2006/main">
          <a:off x="302439" y="44552"/>
          <a:ext cx="460872" cy="202403"/>
        </a:xfrm>
        <a:prstGeom xmlns:a="http://schemas.openxmlformats.org/drawingml/2006/main" prst="rect">
          <a:avLst/>
        </a:prstGeom>
        <a:noFill xmlns:a="http://schemas.openxmlformats.org/drawingml/2006/main"/>
        <a:ln xmlns:a="http://schemas.openxmlformats.org/drawingml/2006/main" w="9525" cmpd="sng">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r>
            <a:rPr lang="en-US" sz="480">
              <a:latin typeface="Arial" pitchFamily="34" charset="0"/>
              <a:cs typeface="+mj-cs"/>
            </a:rPr>
            <a:t>No. of Units</a:t>
          </a:r>
        </a:p>
      </cdr:txBody>
    </cdr:sp>
  </cdr:relSizeAnchor>
  <cdr:relSizeAnchor xmlns:cdr="http://schemas.openxmlformats.org/drawingml/2006/chartDrawing">
    <cdr:from>
      <cdr:x>0.6745</cdr:x>
      <cdr:y>0.04673</cdr:y>
    </cdr:from>
    <cdr:to>
      <cdr:x>0.92281</cdr:x>
      <cdr:y>0.1481</cdr:y>
    </cdr:to>
    <cdr:sp macro="" textlink="">
      <cdr:nvSpPr>
        <cdr:cNvPr id="3" name="TextBox 4"/>
        <cdr:cNvSpPr txBox="1"/>
      </cdr:nvSpPr>
      <cdr:spPr>
        <a:xfrm xmlns:a="http://schemas.openxmlformats.org/drawingml/2006/main">
          <a:off x="1914525" y="95250"/>
          <a:ext cx="704830" cy="206635"/>
        </a:xfrm>
        <a:prstGeom xmlns:a="http://schemas.openxmlformats.org/drawingml/2006/main" prst="rect">
          <a:avLst/>
        </a:prstGeom>
        <a:noFill xmlns:a="http://schemas.openxmlformats.org/drawingml/2006/main"/>
        <a:ln xmlns:a="http://schemas.openxmlformats.org/drawingml/2006/main" w="9525" cmpd="sng">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r>
            <a:rPr lang="en-US" sz="480">
              <a:latin typeface="Arial" pitchFamily="34" charset="0"/>
              <a:cs typeface="+mj-cs"/>
            </a:rPr>
            <a:t>No. of Months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33</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rromero</dc:creator>
  <cp:lastModifiedBy>rromero</cp:lastModifiedBy>
  <cp:revision>8</cp:revision>
  <dcterms:created xsi:type="dcterms:W3CDTF">2010-06-28T10:27:00Z</dcterms:created>
  <dcterms:modified xsi:type="dcterms:W3CDTF">2010-07-27T12:12:00Z</dcterms:modified>
</cp:coreProperties>
</file>