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82F" w:rsidRDefault="0029382F"/>
    <w:tbl>
      <w:tblPr>
        <w:tblW w:w="5000" w:type="pct"/>
        <w:tblLook w:val="01E0"/>
      </w:tblPr>
      <w:tblGrid>
        <w:gridCol w:w="9245"/>
      </w:tblGrid>
      <w:tr w:rsidR="0029382F" w:rsidRPr="00BB764B" w:rsidTr="00BB764B">
        <w:tc>
          <w:tcPr>
            <w:tcW w:w="5000" w:type="pct"/>
            <w:shd w:val="clear" w:color="auto" w:fill="B2B3B6"/>
            <w:vAlign w:val="center"/>
          </w:tcPr>
          <w:p w:rsidR="0029382F" w:rsidRPr="0029382F" w:rsidRDefault="0029382F" w:rsidP="0029382F">
            <w:pPr>
              <w:pStyle w:val="iRChartTitle"/>
            </w:pPr>
            <w:r w:rsidRPr="00D229CF">
              <w:rPr>
                <w:rStyle w:val="iRChartNumberChar"/>
              </w:rPr>
              <w:t>Chart ##:</w:t>
            </w:r>
            <w:r w:rsidRPr="0029382F">
              <w:t xml:space="preserve"> Chart Title</w:t>
            </w:r>
          </w:p>
        </w:tc>
      </w:tr>
      <w:tr w:rsidR="0029382F" w:rsidRPr="00BB764B" w:rsidTr="00BB764B">
        <w:tc>
          <w:tcPr>
            <w:tcW w:w="5000" w:type="pct"/>
            <w:shd w:val="clear" w:color="auto" w:fill="4D6894"/>
          </w:tcPr>
          <w:p w:rsidR="0029382F" w:rsidRPr="00BB764B" w:rsidRDefault="0029382F">
            <w:pPr>
              <w:rPr>
                <w:sz w:val="4"/>
                <w:szCs w:val="4"/>
              </w:rPr>
            </w:pPr>
          </w:p>
        </w:tc>
      </w:tr>
      <w:tr w:rsidR="001343D1" w:rsidRPr="00BB764B" w:rsidTr="00BB764B">
        <w:tc>
          <w:tcPr>
            <w:tcW w:w="5000" w:type="pct"/>
            <w:shd w:val="clear" w:color="auto" w:fill="auto"/>
          </w:tcPr>
          <w:p w:rsidR="001343D1" w:rsidRPr="00BB764B" w:rsidRDefault="001343D1">
            <w:pPr>
              <w:rPr>
                <w:sz w:val="10"/>
                <w:szCs w:val="10"/>
              </w:rPr>
            </w:pPr>
          </w:p>
        </w:tc>
      </w:tr>
      <w:tr w:rsidR="00513211" w:rsidTr="00BB764B">
        <w:tc>
          <w:tcPr>
            <w:tcW w:w="5000" w:type="pct"/>
          </w:tcPr>
          <w:p w:rsidR="00513211" w:rsidRPr="001343D1" w:rsidRDefault="00513211" w:rsidP="00C17468">
            <w:pPr>
              <w:pStyle w:val="iRChartHeading"/>
            </w:pPr>
            <w:r w:rsidRPr="001343D1">
              <w:t>Chart Heading</w:t>
            </w:r>
          </w:p>
        </w:tc>
      </w:tr>
      <w:tr w:rsidR="00513211" w:rsidRPr="00BB764B" w:rsidTr="00BB764B">
        <w:tc>
          <w:tcPr>
            <w:tcW w:w="5000" w:type="pct"/>
          </w:tcPr>
          <w:p w:rsidR="00513211" w:rsidRPr="00BB764B" w:rsidRDefault="00513211">
            <w:pPr>
              <w:rPr>
                <w:sz w:val="10"/>
                <w:szCs w:val="10"/>
              </w:rPr>
            </w:pPr>
          </w:p>
        </w:tc>
      </w:tr>
      <w:tr w:rsidR="00513211" w:rsidTr="00BB764B">
        <w:tc>
          <w:tcPr>
            <w:tcW w:w="5000" w:type="pct"/>
          </w:tcPr>
          <w:p w:rsidR="00513211" w:rsidRDefault="00706B5D" w:rsidP="00BB764B">
            <w:pPr>
              <w:jc w:val="center"/>
            </w:pPr>
            <w:r>
              <w:rPr>
                <w:noProof/>
                <w:sz w:val="10"/>
                <w:szCs w:val="10"/>
              </w:rPr>
              <w:drawing>
                <wp:inline distT="0" distB="0" distL="0" distR="0">
                  <wp:extent cx="5486400" cy="320040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1343D1" w:rsidRPr="00BB764B" w:rsidTr="00BB764B">
        <w:tc>
          <w:tcPr>
            <w:tcW w:w="5000" w:type="pct"/>
            <w:shd w:val="clear" w:color="auto" w:fill="E7EBF2"/>
          </w:tcPr>
          <w:p w:rsidR="001343D1" w:rsidRPr="00BB764B" w:rsidRDefault="001343D1">
            <w:pPr>
              <w:rPr>
                <w:rStyle w:val="iRChartNoteDarkChar"/>
                <w:sz w:val="4"/>
                <w:szCs w:val="4"/>
              </w:rPr>
            </w:pPr>
          </w:p>
        </w:tc>
      </w:tr>
      <w:tr w:rsidR="0029382F" w:rsidRPr="00BB764B" w:rsidTr="00BB764B">
        <w:tc>
          <w:tcPr>
            <w:tcW w:w="5000" w:type="pct"/>
            <w:shd w:val="clear" w:color="auto" w:fill="E7EBF2"/>
          </w:tcPr>
          <w:p w:rsidR="0029382F" w:rsidRPr="00BB764B" w:rsidRDefault="003561D4">
            <w:pPr>
              <w:rPr>
                <w:sz w:val="14"/>
                <w:szCs w:val="14"/>
              </w:rPr>
            </w:pPr>
            <w:r w:rsidRPr="006570DE">
              <w:rPr>
                <w:rStyle w:val="iRChartNoteDarkChar"/>
              </w:rPr>
              <w:t xml:space="preserve">Chart Note </w:t>
            </w:r>
            <w:r w:rsidR="006570DE">
              <w:rPr>
                <w:rStyle w:val="iRChartNoteDarkChar"/>
              </w:rPr>
              <w:t xml:space="preserve">Dark </w:t>
            </w:r>
            <w:r w:rsidRPr="00BB764B">
              <w:rPr>
                <w:sz w:val="14"/>
                <w:szCs w:val="14"/>
              </w:rPr>
              <w:t xml:space="preserve"> </w:t>
            </w:r>
            <w:r w:rsidRPr="006570DE">
              <w:rPr>
                <w:rStyle w:val="iRChartNoteLightChar"/>
              </w:rPr>
              <w:t xml:space="preserve">(Chart Note </w:t>
            </w:r>
            <w:r w:rsidR="006570DE">
              <w:rPr>
                <w:rStyle w:val="iRChartNoteLightChar"/>
              </w:rPr>
              <w:t xml:space="preserve">Light </w:t>
            </w:r>
            <w:r w:rsidRPr="006570DE">
              <w:rPr>
                <w:rStyle w:val="iRChartNoteLightChar"/>
              </w:rPr>
              <w:t>)</w:t>
            </w:r>
          </w:p>
        </w:tc>
      </w:tr>
      <w:tr w:rsidR="001343D1" w:rsidRPr="00BB764B" w:rsidTr="00BB764B">
        <w:tc>
          <w:tcPr>
            <w:tcW w:w="5000" w:type="pct"/>
            <w:shd w:val="clear" w:color="auto" w:fill="E7EBF2"/>
          </w:tcPr>
          <w:p w:rsidR="001343D1" w:rsidRPr="00BB764B" w:rsidRDefault="001343D1">
            <w:pPr>
              <w:rPr>
                <w:rStyle w:val="iRChartNoteDarkChar"/>
                <w:sz w:val="4"/>
                <w:szCs w:val="4"/>
              </w:rPr>
            </w:pPr>
          </w:p>
        </w:tc>
      </w:tr>
    </w:tbl>
    <w:p w:rsidR="00005FAB" w:rsidRPr="00F072B1" w:rsidRDefault="00005FAB"/>
    <w:sectPr w:rsidR="00005FAB" w:rsidRPr="00F072B1" w:rsidSect="000D620E">
      <w:headerReference w:type="default" r:id="rId8"/>
      <w:footerReference w:type="default" r:id="rId9"/>
      <w:pgSz w:w="11909" w:h="16834" w:code="9"/>
      <w:pgMar w:top="1892"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F9D" w:rsidRDefault="00944F9D">
      <w:r>
        <w:separator/>
      </w:r>
    </w:p>
  </w:endnote>
  <w:endnote w:type="continuationSeparator" w:id="1">
    <w:p w:rsidR="00944F9D" w:rsidRDefault="00944F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1"/>
      <w:gridCol w:w="4596"/>
      <w:gridCol w:w="4218"/>
    </w:tblGrid>
    <w:tr w:rsidR="00B81974">
      <w:tc>
        <w:tcPr>
          <w:tcW w:w="432" w:type="dxa"/>
          <w:shd w:val="clear" w:color="auto" w:fill="012464"/>
          <w:vAlign w:val="center"/>
        </w:tcPr>
        <w:p w:rsidR="00B81974" w:rsidRPr="004A00EE" w:rsidRDefault="00B06E87" w:rsidP="009643BB">
          <w:pPr>
            <w:pStyle w:val="Footer"/>
            <w:jc w:val="center"/>
            <w:rPr>
              <w:sz w:val="16"/>
              <w:szCs w:val="16"/>
            </w:rPr>
          </w:pPr>
          <w:r w:rsidRPr="004A00EE">
            <w:rPr>
              <w:rStyle w:val="PageNumber"/>
              <w:sz w:val="16"/>
              <w:szCs w:val="16"/>
            </w:rPr>
            <w:fldChar w:fldCharType="begin"/>
          </w:r>
          <w:r w:rsidR="00B81974" w:rsidRPr="004A00EE">
            <w:rPr>
              <w:rStyle w:val="PageNumber"/>
              <w:sz w:val="16"/>
              <w:szCs w:val="16"/>
            </w:rPr>
            <w:instrText xml:space="preserve"> PAGE </w:instrText>
          </w:r>
          <w:r w:rsidRPr="004A00EE">
            <w:rPr>
              <w:rStyle w:val="PageNumber"/>
              <w:sz w:val="16"/>
              <w:szCs w:val="16"/>
            </w:rPr>
            <w:fldChar w:fldCharType="separate"/>
          </w:r>
          <w:r w:rsidR="00B81974">
            <w:rPr>
              <w:rStyle w:val="PageNumber"/>
              <w:noProof/>
              <w:sz w:val="16"/>
              <w:szCs w:val="16"/>
            </w:rPr>
            <w:t>2</w:t>
          </w:r>
          <w:r w:rsidRPr="004A00EE">
            <w:rPr>
              <w:rStyle w:val="PageNumber"/>
              <w:sz w:val="16"/>
              <w:szCs w:val="16"/>
            </w:rPr>
            <w:fldChar w:fldCharType="end"/>
          </w:r>
        </w:p>
      </w:tc>
      <w:tc>
        <w:tcPr>
          <w:tcW w:w="4561" w:type="dxa"/>
          <w:vAlign w:val="center"/>
        </w:tcPr>
        <w:p w:rsidR="00B81974" w:rsidRDefault="000B1F3F" w:rsidP="002C5E91">
          <w:pPr>
            <w:pStyle w:val="Footer"/>
            <w:jc w:val="right"/>
          </w:pPr>
          <w:r>
            <w:rPr>
              <w:noProof/>
            </w:rPr>
            <w:drawing>
              <wp:inline distT="0" distB="0" distL="0" distR="0">
                <wp:extent cx="2762250" cy="161925"/>
                <wp:effectExtent l="19050" t="0" r="0" b="0"/>
                <wp:docPr id="2" name="Picture 2"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_Website_Footer"/>
                        <pic:cNvPicPr>
                          <a:picLocks noChangeAspect="1" noChangeArrowheads="1"/>
                        </pic:cNvPicPr>
                      </pic:nvPicPr>
                      <pic:blipFill>
                        <a:blip r:embed="rId1"/>
                        <a:srcRect/>
                        <a:stretch>
                          <a:fillRect/>
                        </a:stretch>
                      </pic:blipFill>
                      <pic:spPr bwMode="auto">
                        <a:xfrm>
                          <a:off x="0" y="0"/>
                          <a:ext cx="2762250" cy="161925"/>
                        </a:xfrm>
                        <a:prstGeom prst="rect">
                          <a:avLst/>
                        </a:prstGeom>
                        <a:noFill/>
                        <a:ln w="9525">
                          <a:noFill/>
                          <a:miter lim="800000"/>
                          <a:headEnd/>
                          <a:tailEnd/>
                        </a:ln>
                      </pic:spPr>
                    </pic:pic>
                  </a:graphicData>
                </a:graphic>
              </wp:inline>
            </w:drawing>
          </w:r>
        </w:p>
      </w:tc>
      <w:tc>
        <w:tcPr>
          <w:tcW w:w="4233" w:type="dxa"/>
          <w:shd w:val="clear" w:color="auto" w:fill="012464"/>
          <w:vAlign w:val="center"/>
        </w:tcPr>
        <w:p w:rsidR="00B81974" w:rsidRPr="002C5E91" w:rsidRDefault="00B06E87" w:rsidP="002C5E91">
          <w:pPr>
            <w:pStyle w:val="Footer"/>
            <w:jc w:val="right"/>
            <w:rPr>
              <w:color w:val="FFFFFF"/>
              <w:sz w:val="16"/>
              <w:szCs w:val="16"/>
            </w:rPr>
          </w:pPr>
          <w:fldSimple w:instr=" DOCPROPERTY  iR_Company_or_Sector_Name  \* MERGEFORMAT ">
            <w:r w:rsidR="00B81974">
              <w:rPr>
                <w:color w:val="FFFFFF"/>
                <w:sz w:val="16"/>
                <w:szCs w:val="16"/>
              </w:rPr>
              <w:t xml:space="preserve"> #Company/Sector-Name#</w:t>
            </w:r>
          </w:fldSimple>
        </w:p>
      </w:tc>
    </w:tr>
  </w:tbl>
  <w:p w:rsidR="00B81974" w:rsidRDefault="00B819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F9D" w:rsidRDefault="00944F9D">
      <w:r>
        <w:separator/>
      </w:r>
    </w:p>
  </w:footnote>
  <w:footnote w:type="continuationSeparator" w:id="1">
    <w:p w:rsidR="00944F9D" w:rsidRDefault="00944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7668"/>
      <w:gridCol w:w="1577"/>
    </w:tblGrid>
    <w:tr w:rsidR="00B81974">
      <w:trPr>
        <w:trHeight w:val="864"/>
      </w:trPr>
      <w:tc>
        <w:tcPr>
          <w:tcW w:w="4147" w:type="pct"/>
          <w:shd w:val="clear" w:color="auto" w:fill="D9DEE8"/>
        </w:tcPr>
        <w:p w:rsidR="00B81974" w:rsidRDefault="00B81974" w:rsidP="007E48F6">
          <w:pPr>
            <w:pStyle w:val="Header"/>
          </w:pPr>
        </w:p>
      </w:tc>
      <w:tc>
        <w:tcPr>
          <w:tcW w:w="853" w:type="pct"/>
          <w:vMerge w:val="restart"/>
        </w:tcPr>
        <w:p w:rsidR="00B81974" w:rsidRDefault="00B81974">
          <w:pPr>
            <w:pStyle w:val="Header"/>
          </w:pPr>
          <w:r>
            <w:t>logo</w:t>
          </w:r>
        </w:p>
      </w:tc>
    </w:tr>
    <w:tr w:rsidR="00B81974" w:rsidRPr="00D37CD1">
      <w:trPr>
        <w:trHeight w:val="70"/>
      </w:trPr>
      <w:tc>
        <w:tcPr>
          <w:tcW w:w="4147" w:type="pct"/>
          <w:shd w:val="clear" w:color="auto" w:fill="E6E9EF"/>
        </w:tcPr>
        <w:p w:rsidR="00B81974" w:rsidRPr="00D37CD1" w:rsidRDefault="00B06E87">
          <w:pPr>
            <w:pStyle w:val="Header"/>
            <w:rPr>
              <w:color w:val="012464"/>
              <w:sz w:val="20"/>
              <w:szCs w:val="20"/>
            </w:rPr>
          </w:pPr>
          <w:fldSimple w:instr=" DOCPROPERTY  iR_Country_or_Sector  \* MERGEFORMAT ">
            <w:r w:rsidR="00B81974">
              <w:rPr>
                <w:color w:val="012464"/>
                <w:sz w:val="20"/>
                <w:szCs w:val="20"/>
              </w:rPr>
              <w:t xml:space="preserve"> #Country/Sector-Name#</w:t>
            </w:r>
          </w:fldSimple>
        </w:p>
      </w:tc>
      <w:tc>
        <w:tcPr>
          <w:tcW w:w="853" w:type="pct"/>
          <w:vMerge/>
          <w:shd w:val="clear" w:color="auto" w:fill="E6E9EF"/>
        </w:tcPr>
        <w:p w:rsidR="00B81974" w:rsidRPr="00D37CD1" w:rsidRDefault="00B81974">
          <w:pPr>
            <w:pStyle w:val="Header"/>
            <w:rPr>
              <w:color w:val="012464"/>
              <w:sz w:val="20"/>
              <w:szCs w:val="20"/>
            </w:rPr>
          </w:pPr>
        </w:p>
      </w:tc>
    </w:tr>
  </w:tbl>
  <w:p w:rsidR="00B81974" w:rsidRDefault="00B819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753667"/>
    <w:rsid w:val="00005FAB"/>
    <w:rsid w:val="000259A2"/>
    <w:rsid w:val="00025B6E"/>
    <w:rsid w:val="00063C4B"/>
    <w:rsid w:val="00065437"/>
    <w:rsid w:val="00084552"/>
    <w:rsid w:val="000B1F3F"/>
    <w:rsid w:val="000D14E3"/>
    <w:rsid w:val="000D620E"/>
    <w:rsid w:val="001120F5"/>
    <w:rsid w:val="001155D7"/>
    <w:rsid w:val="0012601D"/>
    <w:rsid w:val="001343D1"/>
    <w:rsid w:val="001539D2"/>
    <w:rsid w:val="001613CF"/>
    <w:rsid w:val="001648D2"/>
    <w:rsid w:val="00170BD6"/>
    <w:rsid w:val="00191D99"/>
    <w:rsid w:val="00196ED6"/>
    <w:rsid w:val="001A7AED"/>
    <w:rsid w:val="001B1CBE"/>
    <w:rsid w:val="001E3C35"/>
    <w:rsid w:val="00225227"/>
    <w:rsid w:val="00251D42"/>
    <w:rsid w:val="002808D6"/>
    <w:rsid w:val="00287DB3"/>
    <w:rsid w:val="0029382F"/>
    <w:rsid w:val="002C5E91"/>
    <w:rsid w:val="002D3DB1"/>
    <w:rsid w:val="002E6B30"/>
    <w:rsid w:val="002F7C9A"/>
    <w:rsid w:val="00306205"/>
    <w:rsid w:val="00306F4A"/>
    <w:rsid w:val="00310147"/>
    <w:rsid w:val="0033606B"/>
    <w:rsid w:val="003561D4"/>
    <w:rsid w:val="003561DB"/>
    <w:rsid w:val="0039491F"/>
    <w:rsid w:val="003E7A27"/>
    <w:rsid w:val="00415B8E"/>
    <w:rsid w:val="00437778"/>
    <w:rsid w:val="004448B6"/>
    <w:rsid w:val="004A00EE"/>
    <w:rsid w:val="004C6120"/>
    <w:rsid w:val="00513211"/>
    <w:rsid w:val="00541170"/>
    <w:rsid w:val="005619BF"/>
    <w:rsid w:val="00575F6F"/>
    <w:rsid w:val="00582FA4"/>
    <w:rsid w:val="005C3A51"/>
    <w:rsid w:val="005D2DCB"/>
    <w:rsid w:val="005D62D2"/>
    <w:rsid w:val="005F2413"/>
    <w:rsid w:val="005F3586"/>
    <w:rsid w:val="00636386"/>
    <w:rsid w:val="006570DE"/>
    <w:rsid w:val="006852B3"/>
    <w:rsid w:val="006A709A"/>
    <w:rsid w:val="006C1F92"/>
    <w:rsid w:val="006E79C7"/>
    <w:rsid w:val="007045AD"/>
    <w:rsid w:val="00706B5D"/>
    <w:rsid w:val="00717F6E"/>
    <w:rsid w:val="00753667"/>
    <w:rsid w:val="007742D2"/>
    <w:rsid w:val="007A7161"/>
    <w:rsid w:val="007E1CF6"/>
    <w:rsid w:val="007E48F6"/>
    <w:rsid w:val="007F1403"/>
    <w:rsid w:val="0081489F"/>
    <w:rsid w:val="00847695"/>
    <w:rsid w:val="00875EE3"/>
    <w:rsid w:val="00876978"/>
    <w:rsid w:val="0092185F"/>
    <w:rsid w:val="00944F9D"/>
    <w:rsid w:val="009643BB"/>
    <w:rsid w:val="00974D7E"/>
    <w:rsid w:val="00986743"/>
    <w:rsid w:val="009B200B"/>
    <w:rsid w:val="009D2725"/>
    <w:rsid w:val="009E2E75"/>
    <w:rsid w:val="00A17DAE"/>
    <w:rsid w:val="00A22FC6"/>
    <w:rsid w:val="00A375B8"/>
    <w:rsid w:val="00A56B71"/>
    <w:rsid w:val="00A6134A"/>
    <w:rsid w:val="00A769CD"/>
    <w:rsid w:val="00AA0179"/>
    <w:rsid w:val="00AE335C"/>
    <w:rsid w:val="00AF64AC"/>
    <w:rsid w:val="00B06E87"/>
    <w:rsid w:val="00B225C7"/>
    <w:rsid w:val="00B75415"/>
    <w:rsid w:val="00B815FC"/>
    <w:rsid w:val="00B81974"/>
    <w:rsid w:val="00BA2DAF"/>
    <w:rsid w:val="00BB764B"/>
    <w:rsid w:val="00BE2E84"/>
    <w:rsid w:val="00C17468"/>
    <w:rsid w:val="00C21ED5"/>
    <w:rsid w:val="00C266DF"/>
    <w:rsid w:val="00C85DF5"/>
    <w:rsid w:val="00C97B9A"/>
    <w:rsid w:val="00CF3508"/>
    <w:rsid w:val="00D06AAC"/>
    <w:rsid w:val="00D229CF"/>
    <w:rsid w:val="00D37CD1"/>
    <w:rsid w:val="00D443F9"/>
    <w:rsid w:val="00D74B61"/>
    <w:rsid w:val="00E6365B"/>
    <w:rsid w:val="00E66791"/>
    <w:rsid w:val="00E80F09"/>
    <w:rsid w:val="00EB443A"/>
    <w:rsid w:val="00F072B1"/>
    <w:rsid w:val="00F46A22"/>
    <w:rsid w:val="00F51122"/>
    <w:rsid w:val="00F54A5C"/>
    <w:rsid w:val="00F63379"/>
    <w:rsid w:val="00F8682C"/>
    <w:rsid w:val="00F97FF3"/>
    <w:rsid w:val="00FA4C89"/>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29382F"/>
    <w:pPr>
      <w:spacing w:line="400" w:lineRule="exact"/>
    </w:pPr>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rFonts w:ascii="Myriad Pro" w:hAnsi="Myriad Pro"/>
      <w:color w:val="315184"/>
      <w:sz w:val="14"/>
      <w:szCs w:val="14"/>
      <w:lang w:val="en-US" w:eastAsia="en-US" w:bidi="ar-SA"/>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rFonts w:ascii="Myriad Pro" w:hAnsi="Myriad Pro"/>
      <w:color w:val="8092B1"/>
      <w:sz w:val="14"/>
      <w:szCs w:val="14"/>
      <w:lang w:val="en-US" w:eastAsia="en-US" w:bidi="ar-SA"/>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259A2"/>
    <w:rPr>
      <w:b/>
      <w:bCs/>
    </w:rPr>
  </w:style>
  <w:style w:type="character" w:customStyle="1" w:styleId="iRChartTitleChar">
    <w:name w:val="iR Chart Title Char"/>
    <w:basedOn w:val="DefaultParagraphFont"/>
    <w:link w:val="iRChartTitle"/>
    <w:rsid w:val="000259A2"/>
    <w:rPr>
      <w:rFonts w:ascii="Myriad Pro" w:hAnsi="Myriad Pro"/>
      <w:color w:val="FFFFFF"/>
      <w:lang w:val="en-US" w:eastAsia="en-US" w:bidi="ar-SA"/>
    </w:rPr>
  </w:style>
  <w:style w:type="character" w:customStyle="1" w:styleId="iRChartNumberChar">
    <w:name w:val="iR Chart Number Char"/>
    <w:basedOn w:val="iRChartTitleChar"/>
    <w:link w:val="iRChartNumber"/>
    <w:rsid w:val="000259A2"/>
    <w:rPr>
      <w:b/>
      <w:bCs/>
    </w:rPr>
  </w:style>
  <w:style w:type="paragraph" w:styleId="BalloonText">
    <w:name w:val="Balloon Text"/>
    <w:basedOn w:val="Normal"/>
    <w:link w:val="BalloonTextChar"/>
    <w:rsid w:val="00847695"/>
    <w:rPr>
      <w:rFonts w:ascii="Tahoma" w:hAnsi="Tahoma" w:cs="Tahoma"/>
      <w:sz w:val="16"/>
      <w:szCs w:val="16"/>
    </w:rPr>
  </w:style>
  <w:style w:type="character" w:customStyle="1" w:styleId="BalloonTextChar">
    <w:name w:val="Balloon Text Char"/>
    <w:basedOn w:val="DefaultParagraphFont"/>
    <w:link w:val="BalloonText"/>
    <w:rsid w:val="00847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dLbls>
            <c:showVal val="1"/>
          </c:dLbls>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c:spPr>
          <c:marker>
            <c:symbol val="square"/>
            <c:size val="4"/>
            <c:spPr>
              <a:ln w="12700"/>
            </c:spPr>
          </c:marker>
          <c:dLbls>
            <c:showVal val="1"/>
          </c:dLbls>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c:spPr>
          <c:marker>
            <c:symbol val="square"/>
            <c:size val="4"/>
            <c:spPr>
              <a:ln w="12700"/>
            </c:spPr>
          </c:marker>
          <c:dLbls>
            <c:showVal val="1"/>
          </c:dLbls>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c:spPr>
          <c:marker>
            <c:symbol val="square"/>
            <c:size val="4"/>
            <c:spPr>
              <a:ln w="12700"/>
            </c:spPr>
          </c:marker>
          <c:dLbls>
            <c:showVal val="1"/>
          </c:dLbls>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55584256"/>
        <c:axId val="55585792"/>
      </c:lineChart>
      <c:catAx>
        <c:axId val="55584256"/>
        <c:scaling>
          <c:orientation val="minMax"/>
        </c:scaling>
        <c:axPos val="b"/>
        <c:tickLblPos val="nextTo"/>
        <c:crossAx val="55585792"/>
        <c:crosses val="autoZero"/>
        <c:auto val="1"/>
        <c:lblAlgn val="ctr"/>
        <c:lblOffset val="100"/>
      </c:catAx>
      <c:valAx>
        <c:axId val="55585792"/>
        <c:scaling>
          <c:orientation val="minMax"/>
        </c:scaling>
        <c:axPos val="l"/>
        <c:numFmt formatCode="General" sourceLinked="1"/>
        <c:tickLblPos val="nextTo"/>
        <c:spPr>
          <a:ln>
            <a:noFill/>
          </a:ln>
        </c:spPr>
        <c:crossAx val="55584256"/>
        <c:crosses val="autoZero"/>
        <c:crossBetween val="between"/>
      </c:valAx>
      <c:spPr>
        <a:noFill/>
        <a:ln w="25400">
          <a:noFill/>
        </a:ln>
      </c:spPr>
    </c:plotArea>
    <c:legend>
      <c:legendPos val="t"/>
    </c:legend>
    <c:plotVisOnly val="1"/>
  </c:chart>
  <c:spPr>
    <a:ln>
      <a:noFill/>
    </a:ln>
  </c:spPr>
  <c:txPr>
    <a:bodyPr/>
    <a:lstStyle/>
    <a:p>
      <a:pPr>
        <a:defRPr sz="8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 Salah</cp:lastModifiedBy>
  <cp:revision>9</cp:revision>
  <cp:lastPrinted>2009-06-09T18:51:00Z</cp:lastPrinted>
  <dcterms:created xsi:type="dcterms:W3CDTF">2009-08-26T18:50:00Z</dcterms:created>
  <dcterms:modified xsi:type="dcterms:W3CDTF">2009-08-26T19:29:00Z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