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1.xml" ContentType="application/vnd.openxmlformats-officedocument.themeOverrid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7021"/>
        <w:gridCol w:w="272"/>
        <w:gridCol w:w="3058"/>
      </w:tblGrid>
      <w:tr w:rsidR="00347C64" w:rsidRPr="00AA3236" w:rsidTr="009247FE">
        <w:tc>
          <w:tcPr>
            <w:tcW w:w="7021"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pPr>
                    <w:rPr>
                      <w:rFonts w:ascii="Calibri" w:hAnsi="Calibri" w:cs="Calibri"/>
                      <w:sz w:val="40"/>
                      <w:szCs w:val="40"/>
                    </w:rPr>
                  </w:pPr>
                  <w:r w:rsidRPr="00A21CC2">
                    <w:rPr>
                      <w:rFonts w:ascii="Calibri" w:hAnsi="Calibri" w:cs="Calibri"/>
                      <w:sz w:val="40"/>
                      <w:szCs w:val="40"/>
                    </w:rPr>
                    <w:t>Cover Page Section Ti</w:t>
                  </w:r>
                  <w:r w:rsidR="009726E3" w:rsidRPr="00A21CC2">
                    <w:rPr>
                      <w:rFonts w:ascii="Calibri" w:hAnsi="Calibri" w:cs="Calibri"/>
                      <w:sz w:val="40"/>
                      <w:szCs w:val="40"/>
                    </w:rPr>
                    <w:t>t</w:t>
                  </w:r>
                  <w:r w:rsidRPr="00A21CC2">
                    <w:rPr>
                      <w:rFonts w:ascii="Calibri" w:hAnsi="Calibri" w:cs="Calibri"/>
                      <w:sz w:val="40"/>
                      <w:szCs w:val="40"/>
                    </w:rPr>
                    <w:t>le</w:t>
                  </w:r>
                </w:p>
              </w:tc>
            </w:tr>
          </w:tbl>
          <w:p w:rsidR="00347C64" w:rsidRPr="00F84686" w:rsidRDefault="00347C64">
            <w:pPr>
              <w:rPr>
                <w:rFonts w:ascii="Calibri" w:hAnsi="Calibri" w:cs="Calibri"/>
                <w:sz w:val="22"/>
                <w:szCs w:val="22"/>
              </w:rPr>
            </w:pP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1</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2</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3</w:t>
            </w:r>
          </w:p>
          <w:p w:rsidR="007D006F" w:rsidRPr="00FA3D1C" w:rsidRDefault="007D006F" w:rsidP="007D006F">
            <w:pPr>
              <w:rPr>
                <w:rFonts w:ascii="Calibri" w:hAnsi="Calibri" w:cs="Calibri"/>
                <w:sz w:val="22"/>
                <w:szCs w:val="22"/>
              </w:rPr>
            </w:pPr>
          </w:p>
          <w:p w:rsidR="007D006F" w:rsidRPr="00FA3D1C" w:rsidRDefault="007D006F" w:rsidP="00B24A1B">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normal text, some normal </w:t>
            </w:r>
            <w:r w:rsidR="00E53852" w:rsidRPr="00FA3D1C">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E4471E">
            <w:pPr>
              <w:rPr>
                <w:rFonts w:ascii="Calibri" w:hAnsi="Calibri" w:cs="Calibri"/>
                <w:sz w:val="22"/>
                <w:szCs w:val="22"/>
              </w:rPr>
            </w:pPr>
            <w:r w:rsidRPr="00B24A1B">
              <w:rPr>
                <w:rFonts w:ascii="Calibri" w:hAnsi="Calibri" w:cs="Calibri"/>
                <w:b/>
                <w:bCs/>
                <w:sz w:val="22"/>
                <w:szCs w:val="22"/>
              </w:rPr>
              <w:t xml:space="preserve">Some normal text, some normal text, </w:t>
            </w:r>
            <w:r w:rsidR="00F9323D" w:rsidRPr="00B24A1B">
              <w:rPr>
                <w:rFonts w:ascii="Calibri" w:hAnsi="Calibri" w:cs="Calibri"/>
                <w:b/>
                <w:bCs/>
                <w:sz w:val="22"/>
                <w:szCs w:val="22"/>
              </w:rPr>
              <w:t>some normal text,</w:t>
            </w:r>
            <w:r w:rsidRPr="00B24A1B">
              <w:rPr>
                <w:rFonts w:ascii="Calibri" w:hAnsi="Calibri" w:cs="Calibri"/>
                <w:b/>
                <w:bCs/>
                <w:sz w:val="22"/>
                <w:szCs w:val="22"/>
              </w:rPr>
              <w:t xml:space="preserve"> normal text, some normal text, some normal text, some normal text, some normal text, some</w:t>
            </w:r>
            <w:r w:rsidRPr="00FA3D1C">
              <w:rPr>
                <w:rFonts w:ascii="Calibri" w:hAnsi="Calibri" w:cs="Calibri"/>
                <w:sz w:val="22"/>
                <w:szCs w:val="22"/>
              </w:rPr>
              <w:t xml:space="preserve"> normal text, some normal text, some normal text, some normal text, some normal text, some normal text, some normal text, some normal text, </w:t>
            </w:r>
            <w:r w:rsidR="00E53852">
              <w:rPr>
                <w:rFonts w:ascii="Calibri" w:hAnsi="Calibri" w:cs="Calibri"/>
                <w:sz w:val="22"/>
                <w:szCs w:val="22"/>
              </w:rPr>
              <w:t xml:space="preserve"> </w:t>
            </w:r>
            <w:r w:rsidR="00E53852" w:rsidRPr="00FA3D1C">
              <w:rPr>
                <w:rFonts w:ascii="Calibri" w:hAnsi="Calibri" w:cs="Calibri"/>
                <w:sz w:val="22"/>
                <w:szCs w:val="22"/>
              </w:rPr>
              <w:t xml:space="preserve">Some normal text, some normal text, some normal text,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7D006F" w:rsidP="00DB03D7">
            <w:pPr>
              <w:rPr>
                <w:rFonts w:ascii="Calibri" w:hAnsi="Calibri" w:cs="Calibri"/>
                <w:sz w:val="22"/>
                <w:szCs w:val="22"/>
              </w:rPr>
            </w:pPr>
            <w:r w:rsidRPr="00B24A1B">
              <w:rPr>
                <w:rFonts w:ascii="Calibri" w:hAnsi="Calibri" w:cs="Calibri"/>
                <w:b/>
                <w:bCs/>
                <w:sz w:val="22"/>
                <w:szCs w:val="22"/>
              </w:rPr>
              <w:t>Some normal text, some normal text, some normal text, some normal text, some normal text, some normal text, some normal text, some normal text,</w:t>
            </w:r>
            <w:r w:rsidRPr="00FA3D1C">
              <w:rPr>
                <w:rFonts w:ascii="Calibri" w:hAnsi="Calibri" w:cs="Calibri"/>
                <w:sz w:val="22"/>
                <w:szCs w:val="22"/>
              </w:rPr>
              <w:t xml:space="preserve"> some normal text, some normal text, some normal text, some normal text, some normal text, some normal text, some norm</w:t>
            </w:r>
            <w:r w:rsidR="002B0CC4">
              <w:rPr>
                <w:rFonts w:ascii="Calibri" w:hAnsi="Calibri" w:cs="Calibri"/>
                <w:sz w:val="22"/>
                <w:szCs w:val="22"/>
              </w:rPr>
              <w:t xml:space="preserve">al text, some normal text, </w:t>
            </w:r>
            <w:r w:rsidR="002B0CC4" w:rsidRPr="00FA3D1C">
              <w:rPr>
                <w:rFonts w:ascii="Calibri" w:hAnsi="Calibri" w:cs="Calibri"/>
                <w:sz w:val="22"/>
                <w:szCs w:val="22"/>
              </w:rPr>
              <w:t xml:space="preserve">some normal text, some normal text, some normal text, some normal text, some normal text, some normal text, some normal text, some normal text, some normal text, some </w:t>
            </w:r>
            <w:r w:rsidR="00927F27" w:rsidRPr="00FA3D1C">
              <w:rPr>
                <w:rFonts w:ascii="Calibri" w:hAnsi="Calibri" w:cs="Calibri"/>
                <w:sz w:val="22"/>
                <w:szCs w:val="22"/>
              </w:rPr>
              <w:t>normal text, some normal text, some normal text, some normal text, some</w:t>
            </w:r>
          </w:p>
          <w:p w:rsidR="007D006F" w:rsidRPr="00FA3D1C" w:rsidRDefault="007D006F" w:rsidP="00FA3D1C">
            <w:pPr>
              <w:rPr>
                <w:rFonts w:ascii="Calibri" w:hAnsi="Calibri" w:cs="Calibri"/>
                <w:sz w:val="22"/>
                <w:szCs w:val="22"/>
              </w:rPr>
            </w:pPr>
          </w:p>
          <w:p w:rsidR="007D006F" w:rsidRDefault="007D006F" w:rsidP="00DB03D7">
            <w:pPr>
              <w:rPr>
                <w:rFonts w:ascii="Calibri" w:hAnsi="Calibri" w:cs="Calibri"/>
                <w:sz w:val="22"/>
                <w:szCs w:val="22"/>
              </w:rPr>
            </w:pPr>
            <w:r w:rsidRPr="00B24A1B">
              <w:rPr>
                <w:rFonts w:ascii="Calibri" w:hAnsi="Calibri" w:cs="Calibri"/>
                <w:b/>
                <w:bCs/>
                <w:sz w:val="22"/>
                <w:szCs w:val="22"/>
              </w:rPr>
              <w:t xml:space="preserve">Some normal text, some normal text, some normal text, some normal text, some normal text, some normal text, some normal text, some normal text, </w:t>
            </w:r>
            <w:r w:rsidRPr="00FA3D1C">
              <w:rPr>
                <w:rFonts w:ascii="Calibri" w:hAnsi="Calibri" w:cs="Calibri"/>
                <w:sz w:val="22"/>
                <w:szCs w:val="22"/>
              </w:rPr>
              <w:t xml:space="preserve">some normal text, some normal text, some normal text, some normal text, some normal text, some normal text, some normal text, some </w:t>
            </w:r>
            <w:r w:rsidR="00D8537B" w:rsidRPr="00FA3D1C">
              <w:rPr>
                <w:rFonts w:ascii="Calibri" w:hAnsi="Calibri" w:cs="Calibri"/>
                <w:sz w:val="22"/>
                <w:szCs w:val="22"/>
              </w:rPr>
              <w:t xml:space="preserve">normal text, some normal text, </w:t>
            </w:r>
          </w:p>
          <w:p w:rsidR="008E4DC1" w:rsidRDefault="008E4DC1" w:rsidP="00DB03D7">
            <w:pPr>
              <w:rPr>
                <w:rFonts w:ascii="Calibri" w:hAnsi="Calibri" w:cs="Calibri"/>
                <w:sz w:val="22"/>
                <w:szCs w:val="22"/>
              </w:rPr>
            </w:pPr>
          </w:p>
          <w:p w:rsidR="00BC1B19" w:rsidRPr="006A73EC" w:rsidRDefault="00BC1B19" w:rsidP="007D006F">
            <w:pPr>
              <w:jc w:val="both"/>
              <w:rPr>
                <w:rFonts w:ascii="Calibri" w:hAnsi="Calibri" w:cs="Calibri"/>
                <w:sz w:val="22"/>
                <w:szCs w:val="22"/>
              </w:rPr>
            </w:pPr>
          </w:p>
          <w:tbl>
            <w:tblPr>
              <w:tblStyle w:val="TableGrid"/>
              <w:tblW w:w="7753" w:type="dxa"/>
              <w:tblLayout w:type="fixed"/>
              <w:tblLook w:val="04A0"/>
            </w:tblPr>
            <w:tblGrid>
              <w:gridCol w:w="1371"/>
              <w:gridCol w:w="1371"/>
              <w:gridCol w:w="1371"/>
              <w:gridCol w:w="1371"/>
              <w:gridCol w:w="1158"/>
              <w:gridCol w:w="124"/>
              <w:gridCol w:w="987"/>
            </w:tblGrid>
            <w:tr w:rsidR="00CC674B" w:rsidTr="00A21CC2">
              <w:tc>
                <w:tcPr>
                  <w:tcW w:w="7753" w:type="dxa"/>
                  <w:gridSpan w:val="7"/>
                  <w:tcBorders>
                    <w:top w:val="single" w:sz="6" w:space="0" w:color="396295" w:themeColor="accent6" w:themeShade="80"/>
                    <w:left w:val="nil"/>
                    <w:bottom w:val="single" w:sz="6" w:space="0" w:color="396295" w:themeColor="accent6" w:themeShade="80"/>
                    <w:right w:val="nil"/>
                  </w:tcBorders>
                  <w:shd w:val="clear" w:color="auto" w:fill="auto"/>
                </w:tcPr>
                <w:p w:rsidR="00CC674B" w:rsidRPr="00CC674B" w:rsidRDefault="00EF08D5" w:rsidP="00EF08D5">
                  <w:pPr>
                    <w:pStyle w:val="iRTableHead"/>
                    <w:spacing w:before="40" w:after="40"/>
                    <w:rPr>
                      <w:rFonts w:ascii="Calibri" w:hAnsi="Calibri" w:cs="Calibri"/>
                      <w:b/>
                      <w:bCs/>
                      <w:color w:val="auto"/>
                      <w:sz w:val="22"/>
                      <w:szCs w:val="22"/>
                    </w:rPr>
                  </w:pPr>
                  <w:r>
                    <w:rPr>
                      <w:rFonts w:ascii="Calibri" w:hAnsi="Calibri" w:cs="Calibri"/>
                      <w:b/>
                      <w:bCs/>
                      <w:color w:val="auto"/>
                      <w:sz w:val="22"/>
                      <w:szCs w:val="22"/>
                    </w:rPr>
                    <w:t>Key Indicators</w:t>
                  </w:r>
                  <w:r w:rsidR="00C70EDA">
                    <w:rPr>
                      <w:rFonts w:ascii="Calibri" w:hAnsi="Calibri" w:cs="Calibri"/>
                      <w:b/>
                      <w:bCs/>
                      <w:color w:val="auto"/>
                      <w:sz w:val="22"/>
                      <w:szCs w:val="22"/>
                    </w:rPr>
                    <w:t xml:space="preserve"> (EGPm)</w:t>
                  </w:r>
                </w:p>
              </w:tc>
            </w:tr>
            <w:tr w:rsidR="00CC674B" w:rsidTr="00A21CC2">
              <w:tc>
                <w:tcPr>
                  <w:tcW w:w="1371" w:type="dxa"/>
                  <w:tcBorders>
                    <w:top w:val="single" w:sz="6" w:space="0" w:color="396295" w:themeColor="accent6" w:themeShade="80"/>
                    <w:left w:val="nil"/>
                    <w:bottom w:val="single" w:sz="6" w:space="0" w:color="auto"/>
                    <w:right w:val="nil"/>
                  </w:tcBorders>
                </w:tcPr>
                <w:p w:rsidR="00CC674B" w:rsidRPr="00EF08D5" w:rsidRDefault="00CC674B" w:rsidP="00EF08D5">
                  <w:pPr>
                    <w:spacing w:before="40" w:after="40"/>
                    <w:jc w:val="both"/>
                    <w:rPr>
                      <w:rFonts w:ascii="Calibri" w:hAnsi="Calibri" w:cs="Calibri"/>
                      <w:b/>
                      <w:bCs/>
                      <w:szCs w:val="18"/>
                    </w:rPr>
                  </w:pP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2009</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2010e</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2011e</w:t>
                  </w:r>
                </w:p>
              </w:tc>
              <w:tc>
                <w:tcPr>
                  <w:tcW w:w="1282" w:type="dxa"/>
                  <w:gridSpan w:val="2"/>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2012e</w:t>
                  </w:r>
                </w:p>
              </w:tc>
              <w:tc>
                <w:tcPr>
                  <w:tcW w:w="987"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2013e</w:t>
                  </w:r>
                </w:p>
              </w:tc>
            </w:tr>
            <w:tr w:rsidR="00CC674B" w:rsidTr="00A21CC2">
              <w:tc>
                <w:tcPr>
                  <w:tcW w:w="1371" w:type="dxa"/>
                  <w:tcBorders>
                    <w:top w:val="single" w:sz="6" w:space="0" w:color="auto"/>
                    <w:left w:val="nil"/>
                    <w:bottom w:val="nil"/>
                    <w:right w:val="nil"/>
                  </w:tcBorders>
                </w:tcPr>
                <w:p w:rsidR="00CC674B" w:rsidRPr="00EF08D5" w:rsidRDefault="00EF08D5" w:rsidP="00011989">
                  <w:pPr>
                    <w:spacing w:before="40"/>
                    <w:jc w:val="both"/>
                    <w:rPr>
                      <w:rFonts w:ascii="Calibri" w:hAnsi="Calibri" w:cs="Calibri"/>
                      <w:szCs w:val="18"/>
                    </w:rPr>
                  </w:pPr>
                  <w:r>
                    <w:rPr>
                      <w:rFonts w:ascii="Calibri" w:hAnsi="Calibri" w:cs="Calibri"/>
                      <w:szCs w:val="18"/>
                    </w:rPr>
                    <w:t>Net Profit</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154</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160</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162</w:t>
                  </w:r>
                </w:p>
              </w:tc>
              <w:tc>
                <w:tcPr>
                  <w:tcW w:w="1282" w:type="dxa"/>
                  <w:gridSpan w:val="2"/>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170</w:t>
                  </w:r>
                </w:p>
              </w:tc>
              <w:tc>
                <w:tcPr>
                  <w:tcW w:w="987"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180</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3.2</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5.4</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 Growth</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10%</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12%</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17%</w:t>
                  </w:r>
                </w:p>
              </w:tc>
            </w:tr>
            <w:tr w:rsidR="00EF08D5" w:rsidTr="00A21CC2">
              <w:tc>
                <w:tcPr>
                  <w:tcW w:w="1371" w:type="dxa"/>
                  <w:tcBorders>
                    <w:top w:val="nil"/>
                    <w:left w:val="nil"/>
                    <w:bottom w:val="nil"/>
                    <w:right w:val="nil"/>
                  </w:tcBorders>
                </w:tcPr>
                <w:p w:rsidR="00EF08D5" w:rsidRPr="00EF08D5" w:rsidRDefault="00EF08D5" w:rsidP="007D006F">
                  <w:pPr>
                    <w:jc w:val="both"/>
                    <w:rPr>
                      <w:rFonts w:ascii="Calibri" w:hAnsi="Calibri" w:cs="Calibri"/>
                      <w:szCs w:val="18"/>
                    </w:rPr>
                  </w:pPr>
                  <w:r>
                    <w:rPr>
                      <w:rFonts w:ascii="Calibri" w:hAnsi="Calibri" w:cs="Calibri"/>
                      <w:szCs w:val="18"/>
                    </w:rPr>
                    <w:t>PE</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5.8</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5.0</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4.0</w:t>
                  </w:r>
                </w:p>
              </w:tc>
              <w:tc>
                <w:tcPr>
                  <w:tcW w:w="987"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3.5</w:t>
                  </w:r>
                </w:p>
              </w:tc>
            </w:tr>
            <w:tr w:rsidR="00CC674B" w:rsidTr="00A21CC2">
              <w:tc>
                <w:tcPr>
                  <w:tcW w:w="1371" w:type="dxa"/>
                  <w:tcBorders>
                    <w:top w:val="nil"/>
                    <w:left w:val="nil"/>
                    <w:bottom w:val="single" w:sz="6" w:space="0" w:color="396295" w:themeColor="accent6" w:themeShade="80"/>
                    <w:right w:val="nil"/>
                  </w:tcBorders>
                </w:tcPr>
                <w:p w:rsidR="00CC674B" w:rsidRPr="00EF08D5" w:rsidRDefault="00EF08D5" w:rsidP="00011989">
                  <w:pPr>
                    <w:spacing w:after="40"/>
                    <w:jc w:val="both"/>
                    <w:rPr>
                      <w:rFonts w:ascii="Calibri" w:hAnsi="Calibri" w:cs="Calibri"/>
                      <w:szCs w:val="18"/>
                    </w:rPr>
                  </w:pPr>
                  <w:r>
                    <w:rPr>
                      <w:rFonts w:ascii="Calibri" w:hAnsi="Calibri" w:cs="Calibri"/>
                      <w:szCs w:val="18"/>
                    </w:rPr>
                    <w:t>PB</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282" w:type="dxa"/>
                  <w:gridSpan w:val="2"/>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c>
                <w:tcPr>
                  <w:tcW w:w="987"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r>
            <w:tr w:rsidR="00EF08D5" w:rsidRPr="00EF08D5" w:rsidTr="00A21CC2">
              <w:trPr>
                <w:gridAfter w:val="2"/>
                <w:wAfter w:w="1111" w:type="dxa"/>
              </w:trPr>
              <w:tc>
                <w:tcPr>
                  <w:tcW w:w="6642" w:type="dxa"/>
                  <w:gridSpan w:val="5"/>
                  <w:tcBorders>
                    <w:top w:val="single" w:sz="6" w:space="0" w:color="396295" w:themeColor="accent6" w:themeShade="80"/>
                    <w:left w:val="nil"/>
                    <w:bottom w:val="nil"/>
                    <w:right w:val="nil"/>
                  </w:tcBorders>
                </w:tcPr>
                <w:p w:rsidR="00070ED3" w:rsidRPr="00EF08D5" w:rsidRDefault="00EF08D5" w:rsidP="00A21CC2">
                  <w:pPr>
                    <w:spacing w:before="40"/>
                    <w:jc w:val="both"/>
                    <w:rPr>
                      <w:rFonts w:ascii="Calibri" w:hAnsi="Calibri" w:cs="Calibri"/>
                      <w:sz w:val="16"/>
                      <w:szCs w:val="16"/>
                    </w:rPr>
                  </w:pPr>
                  <w:r>
                    <w:rPr>
                      <w:rFonts w:ascii="Calibri" w:hAnsi="Calibri" w:cs="Calibri"/>
                      <w:sz w:val="16"/>
                      <w:szCs w:val="16"/>
                    </w:rPr>
                    <w:t>Source: Company data, HC</w:t>
                  </w:r>
                </w:p>
              </w:tc>
            </w:tr>
          </w:tbl>
          <w:p w:rsidR="00E75920" w:rsidRPr="00D6204E" w:rsidRDefault="00E75920" w:rsidP="00D6204E">
            <w:pPr>
              <w:spacing w:before="40"/>
              <w:rPr>
                <w:rFonts w:ascii="Calibri" w:hAnsi="Calibri" w:cs="Calibri"/>
                <w:sz w:val="16"/>
                <w:szCs w:val="16"/>
              </w:rPr>
            </w:pPr>
          </w:p>
        </w:tc>
        <w:tc>
          <w:tcPr>
            <w:tcW w:w="272" w:type="dxa"/>
          </w:tcPr>
          <w:p w:rsidR="00347C64" w:rsidRPr="00AA3236" w:rsidRDefault="00347C64">
            <w:pPr>
              <w:rPr>
                <w:rFonts w:ascii="Verdana" w:hAnsi="Verdana" w:cs="Calibri"/>
              </w:rPr>
            </w:pPr>
          </w:p>
        </w:tc>
        <w:tc>
          <w:tcPr>
            <w:tcW w:w="3058" w:type="dxa"/>
          </w:tcPr>
          <w:tbl>
            <w:tblPr>
              <w:tblStyle w:val="TableGrid"/>
              <w:tblW w:w="31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947"/>
              <w:gridCol w:w="948"/>
              <w:gridCol w:w="38"/>
              <w:gridCol w:w="909"/>
              <w:gridCol w:w="287"/>
            </w:tblGrid>
            <w:tr w:rsidR="00A90D46" w:rsidRPr="0027099F" w:rsidTr="00A90D46">
              <w:trPr>
                <w:gridAfter w:val="1"/>
                <w:wAfter w:w="459" w:type="pct"/>
                <w:trHeight w:val="288"/>
              </w:trPr>
              <w:tc>
                <w:tcPr>
                  <w:tcW w:w="1513" w:type="pct"/>
                  <w:tcBorders>
                    <w:top w:val="single" w:sz="6" w:space="0" w:color="396295" w:themeColor="accent6" w:themeShade="80"/>
                    <w:bottom w:val="single" w:sz="6" w:space="0" w:color="396295" w:themeColor="accent6" w:themeShade="80"/>
                  </w:tcBorders>
                  <w:vAlign w:val="center"/>
                </w:tcPr>
                <w:p w:rsidR="00A90D46" w:rsidRPr="00A90D46" w:rsidRDefault="00A90D46" w:rsidP="002115A6">
                  <w:pPr>
                    <w:spacing w:before="40" w:after="40" w:line="240" w:lineRule="exact"/>
                    <w:rPr>
                      <w:rFonts w:ascii="Calibri" w:hAnsi="Calibri" w:cs="Calibri"/>
                      <w:b/>
                      <w:bCs/>
                      <w:sz w:val="21"/>
                      <w:szCs w:val="21"/>
                    </w:rPr>
                  </w:pPr>
                  <w:r w:rsidRPr="00A90D46">
                    <w:rPr>
                      <w:rFonts w:ascii="Calibri" w:hAnsi="Calibri" w:cs="Calibri"/>
                      <w:b/>
                      <w:bCs/>
                      <w:sz w:val="21"/>
                      <w:szCs w:val="21"/>
                    </w:rPr>
                    <w:t>Stock</w:t>
                  </w:r>
                </w:p>
              </w:tc>
              <w:tc>
                <w:tcPr>
                  <w:tcW w:w="1576" w:type="pct"/>
                  <w:gridSpan w:val="2"/>
                  <w:tcBorders>
                    <w:top w:val="single" w:sz="6" w:space="0" w:color="396295" w:themeColor="accent6" w:themeShade="80"/>
                    <w:bottom w:val="single" w:sz="6" w:space="0" w:color="396295" w:themeColor="accent6" w:themeShade="80"/>
                  </w:tcBorders>
                  <w:vAlign w:val="center"/>
                </w:tcPr>
                <w:p w:rsidR="00A90D46" w:rsidRPr="00A90D46" w:rsidRDefault="00A90D46" w:rsidP="002115A6">
                  <w:pPr>
                    <w:spacing w:before="40" w:after="40" w:line="240" w:lineRule="exact"/>
                    <w:jc w:val="right"/>
                    <w:rPr>
                      <w:rFonts w:ascii="Calibri" w:hAnsi="Calibri" w:cs="Calibri"/>
                      <w:b/>
                      <w:bCs/>
                      <w:sz w:val="21"/>
                      <w:szCs w:val="21"/>
                    </w:rPr>
                  </w:pPr>
                  <w:r w:rsidRPr="00A90D46">
                    <w:rPr>
                      <w:rFonts w:ascii="Calibri" w:hAnsi="Calibri" w:cs="Calibri"/>
                      <w:b/>
                      <w:bCs/>
                      <w:sz w:val="21"/>
                      <w:szCs w:val="21"/>
                    </w:rPr>
                    <w:t>TP (EGP)</w:t>
                  </w:r>
                </w:p>
              </w:tc>
              <w:tc>
                <w:tcPr>
                  <w:tcW w:w="1453" w:type="pct"/>
                  <w:tcBorders>
                    <w:top w:val="single" w:sz="6" w:space="0" w:color="396295" w:themeColor="accent6" w:themeShade="80"/>
                    <w:bottom w:val="single" w:sz="6" w:space="0" w:color="396295" w:themeColor="accent6" w:themeShade="80"/>
                  </w:tcBorders>
                  <w:vAlign w:val="center"/>
                </w:tcPr>
                <w:p w:rsidR="00A90D46" w:rsidRPr="00A90D46" w:rsidRDefault="00A90D46" w:rsidP="002115A6">
                  <w:pPr>
                    <w:spacing w:before="40" w:after="40" w:line="240" w:lineRule="exact"/>
                    <w:jc w:val="right"/>
                    <w:rPr>
                      <w:rFonts w:ascii="Calibri" w:hAnsi="Calibri" w:cs="Calibri"/>
                      <w:b/>
                      <w:bCs/>
                      <w:sz w:val="21"/>
                      <w:szCs w:val="21"/>
                    </w:rPr>
                  </w:pPr>
                  <w:r w:rsidRPr="00A90D46">
                    <w:rPr>
                      <w:rFonts w:ascii="Calibri" w:hAnsi="Calibri" w:cs="Calibri"/>
                      <w:b/>
                      <w:bCs/>
                      <w:sz w:val="21"/>
                      <w:szCs w:val="21"/>
                    </w:rPr>
                    <w:t>Upside</w:t>
                  </w:r>
                </w:p>
              </w:tc>
            </w:tr>
            <w:tr w:rsidR="00A90D46" w:rsidRPr="0027099F" w:rsidTr="00A90D46">
              <w:trPr>
                <w:gridAfter w:val="1"/>
                <w:wAfter w:w="459" w:type="pct"/>
              </w:trPr>
              <w:tc>
                <w:tcPr>
                  <w:tcW w:w="1513" w:type="pct"/>
                  <w:tcBorders>
                    <w:top w:val="single" w:sz="6" w:space="0" w:color="396295" w:themeColor="accent6" w:themeShade="80"/>
                  </w:tcBorders>
                  <w:vAlign w:val="center"/>
                </w:tcPr>
                <w:p w:rsidR="00A90D46" w:rsidRPr="00A90D46" w:rsidRDefault="00A90D46" w:rsidP="002115A6">
                  <w:pPr>
                    <w:spacing w:line="240" w:lineRule="exact"/>
                    <w:rPr>
                      <w:rFonts w:ascii="Calibri" w:hAnsi="Calibri" w:cs="Calibri"/>
                      <w:sz w:val="21"/>
                      <w:szCs w:val="21"/>
                    </w:rPr>
                  </w:pPr>
                  <w:r w:rsidRPr="00A90D46">
                    <w:rPr>
                      <w:rFonts w:ascii="Calibri" w:hAnsi="Calibri" w:cs="Calibri"/>
                      <w:sz w:val="21"/>
                      <w:szCs w:val="21"/>
                    </w:rPr>
                    <w:t>Stock</w:t>
                  </w:r>
                </w:p>
              </w:tc>
              <w:tc>
                <w:tcPr>
                  <w:tcW w:w="1515" w:type="pct"/>
                  <w:tcBorders>
                    <w:top w:val="single" w:sz="6" w:space="0" w:color="396295" w:themeColor="accent6" w:themeShade="80"/>
                  </w:tcBorders>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c>
                <w:tcPr>
                  <w:tcW w:w="1513" w:type="pct"/>
                  <w:gridSpan w:val="2"/>
                  <w:tcBorders>
                    <w:top w:val="single" w:sz="6" w:space="0" w:color="396295" w:themeColor="accent6" w:themeShade="80"/>
                  </w:tcBorders>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spacing w:line="240" w:lineRule="exact"/>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spacing w:line="240" w:lineRule="exact"/>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jc w:val="right"/>
                    <w:rPr>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keepNext/>
                    <w:keepLines/>
                    <w:outlineLvl w:val="5"/>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jc w:val="right"/>
                    <w:rPr>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keepNext/>
                    <w:keepLines/>
                    <w:jc w:val="right"/>
                    <w:outlineLvl w:val="5"/>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keepNext/>
                    <w:keepLines/>
                    <w:outlineLvl w:val="5"/>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jc w:val="right"/>
                    <w:rPr>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keepNext/>
                    <w:keepLines/>
                    <w:jc w:val="right"/>
                    <w:outlineLvl w:val="5"/>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spacing w:line="240" w:lineRule="exact"/>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jc w:val="right"/>
                    <w:rPr>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r>
            <w:tr w:rsidR="00A90D46" w:rsidRPr="0027099F" w:rsidTr="00A90D46">
              <w:trPr>
                <w:gridAfter w:val="1"/>
                <w:wAfter w:w="459" w:type="pct"/>
              </w:trPr>
              <w:tc>
                <w:tcPr>
                  <w:tcW w:w="1513" w:type="pct"/>
                  <w:vAlign w:val="center"/>
                </w:tcPr>
                <w:p w:rsidR="00A90D46" w:rsidRPr="00A90D46" w:rsidRDefault="00A90D46" w:rsidP="002115A6">
                  <w:pPr>
                    <w:spacing w:line="240" w:lineRule="exact"/>
                    <w:rPr>
                      <w:rFonts w:ascii="Calibri" w:hAnsi="Calibri" w:cs="Calibri"/>
                      <w:sz w:val="21"/>
                      <w:szCs w:val="21"/>
                    </w:rPr>
                  </w:pPr>
                  <w:r w:rsidRPr="00A90D46">
                    <w:rPr>
                      <w:rFonts w:ascii="Calibri" w:hAnsi="Calibri" w:cs="Calibri"/>
                      <w:sz w:val="21"/>
                      <w:szCs w:val="21"/>
                    </w:rPr>
                    <w:t>Stock</w:t>
                  </w:r>
                </w:p>
              </w:tc>
              <w:tc>
                <w:tcPr>
                  <w:tcW w:w="1515" w:type="pct"/>
                  <w:vAlign w:val="center"/>
                </w:tcPr>
                <w:p w:rsidR="00A90D46" w:rsidRPr="00A90D46" w:rsidRDefault="00A90D46" w:rsidP="002115A6">
                  <w:pPr>
                    <w:jc w:val="right"/>
                    <w:rPr>
                      <w:sz w:val="21"/>
                      <w:szCs w:val="21"/>
                    </w:rPr>
                  </w:pPr>
                  <w:r w:rsidRPr="00A90D46">
                    <w:rPr>
                      <w:rFonts w:ascii="Calibri" w:hAnsi="Calibri" w:cs="Calibri"/>
                      <w:sz w:val="21"/>
                      <w:szCs w:val="21"/>
                    </w:rPr>
                    <w:t>10</w:t>
                  </w:r>
                </w:p>
              </w:tc>
              <w:tc>
                <w:tcPr>
                  <w:tcW w:w="1513" w:type="pct"/>
                  <w:gridSpan w:val="2"/>
                  <w:vAlign w:val="center"/>
                </w:tcPr>
                <w:p w:rsidR="00A90D46" w:rsidRPr="00A90D46" w:rsidRDefault="00A90D46" w:rsidP="002115A6">
                  <w:pPr>
                    <w:spacing w:line="240" w:lineRule="exact"/>
                    <w:jc w:val="right"/>
                    <w:rPr>
                      <w:rFonts w:ascii="Calibri" w:hAnsi="Calibri" w:cs="Calibri"/>
                      <w:sz w:val="21"/>
                      <w:szCs w:val="21"/>
                    </w:rPr>
                  </w:pPr>
                  <w:r w:rsidRPr="00A90D46">
                    <w:rPr>
                      <w:rFonts w:ascii="Calibri" w:hAnsi="Calibri" w:cs="Calibri"/>
                      <w:sz w:val="21"/>
                      <w:szCs w:val="21"/>
                    </w:rPr>
                    <w:t>10%</w:t>
                  </w:r>
                </w:p>
              </w:tc>
            </w:tr>
            <w:tr w:rsidR="0026186B" w:rsidRPr="007710A9" w:rsidTr="00A90D46">
              <w:trPr>
                <w:trHeight w:val="274"/>
              </w:trPr>
              <w:tc>
                <w:tcPr>
                  <w:tcW w:w="5000" w:type="pct"/>
                  <w:gridSpan w:val="5"/>
                  <w:vAlign w:val="center"/>
                </w:tcPr>
                <w:p w:rsidR="0026186B" w:rsidRPr="007710A9" w:rsidRDefault="0026186B" w:rsidP="00A90D46">
                  <w:pPr>
                    <w:spacing w:before="40" w:line="240" w:lineRule="exact"/>
                    <w:rPr>
                      <w:rFonts w:ascii="Calibri" w:hAnsi="Calibri" w:cs="Calibri"/>
                      <w:sz w:val="16"/>
                      <w:szCs w:val="16"/>
                    </w:rPr>
                  </w:pPr>
                  <w:r w:rsidRPr="007710A9">
                    <w:rPr>
                      <w:rFonts w:ascii="Calibri" w:hAnsi="Calibri" w:cs="Calibri"/>
                      <w:sz w:val="16"/>
                      <w:szCs w:val="16"/>
                    </w:rPr>
                    <w:t>Note: All prices as of XX</w:t>
                  </w:r>
                </w:p>
              </w:tc>
            </w:tr>
          </w:tbl>
          <w:p w:rsidR="00926691" w:rsidRPr="00DE3251" w:rsidRDefault="00926691" w:rsidP="002C28FA">
            <w:pPr>
              <w:ind w:right="-17"/>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842"/>
            </w:tblGrid>
            <w:tr w:rsidR="00D11806" w:rsidRPr="00F05895" w:rsidTr="00BF6111">
              <w:tc>
                <w:tcPr>
                  <w:tcW w:w="5000" w:type="pct"/>
                  <w:tcBorders>
                    <w:top w:val="single" w:sz="6" w:space="0" w:color="396295" w:themeColor="accent6" w:themeShade="80"/>
                    <w:bottom w:val="single" w:sz="6" w:space="0" w:color="396295" w:themeColor="accent6" w:themeShade="80"/>
                  </w:tcBorders>
                  <w:shd w:val="clear" w:color="auto" w:fill="auto"/>
                  <w:vAlign w:val="center"/>
                </w:tcPr>
                <w:p w:rsidR="00D11806" w:rsidRPr="00C22B39" w:rsidRDefault="00F84686" w:rsidP="00F84686">
                  <w:pPr>
                    <w:spacing w:before="40" w:after="40" w:line="240" w:lineRule="exact"/>
                    <w:ind w:right="-17"/>
                    <w:rPr>
                      <w:rFonts w:ascii="Calibri" w:hAnsi="Calibri" w:cs="Calibri"/>
                      <w:b/>
                      <w:bCs/>
                      <w:sz w:val="22"/>
                      <w:szCs w:val="22"/>
                    </w:rPr>
                  </w:pPr>
                  <w:r w:rsidRPr="00C22B39">
                    <w:rPr>
                      <w:rFonts w:ascii="Calibri" w:hAnsi="Calibri" w:cs="Calibri"/>
                      <w:b/>
                      <w:bCs/>
                      <w:sz w:val="22"/>
                      <w:szCs w:val="22"/>
                    </w:rPr>
                    <w:t>Price Performance</w:t>
                  </w:r>
                </w:p>
              </w:tc>
            </w:tr>
            <w:tr w:rsidR="00551F6D" w:rsidRPr="004A0591" w:rsidTr="00BF6111">
              <w:tc>
                <w:tcPr>
                  <w:tcW w:w="5000" w:type="pct"/>
                  <w:tcBorders>
                    <w:top w:val="single" w:sz="6" w:space="0" w:color="396295" w:themeColor="accent6" w:themeShade="80"/>
                  </w:tcBorders>
                  <w:shd w:val="clear" w:color="auto" w:fill="auto"/>
                  <w:vAlign w:val="center"/>
                </w:tcPr>
                <w:p w:rsidR="00551F6D" w:rsidRPr="004A0591" w:rsidRDefault="00551F6D" w:rsidP="002C28FA">
                  <w:pPr>
                    <w:ind w:right="-17"/>
                    <w:rPr>
                      <w:rFonts w:ascii="Calibri" w:hAnsi="Calibri" w:cs="Calibri"/>
                      <w:sz w:val="4"/>
                      <w:szCs w:val="4"/>
                    </w:rPr>
                  </w:pPr>
                </w:p>
              </w:tc>
            </w:tr>
            <w:tr w:rsidR="00D11806" w:rsidRPr="004A0591" w:rsidTr="00810BAF">
              <w:tc>
                <w:tcPr>
                  <w:tcW w:w="5000" w:type="pct"/>
                  <w:vAlign w:val="center"/>
                </w:tcPr>
                <w:p w:rsidR="00D11806" w:rsidRPr="004A0591" w:rsidRDefault="00551F6D" w:rsidP="00927F27">
                  <w:pPr>
                    <w:spacing w:before="40"/>
                    <w:ind w:right="-17"/>
                    <w:jc w:val="center"/>
                    <w:rPr>
                      <w:rFonts w:ascii="Calibri" w:hAnsi="Calibri" w:cs="Calibri"/>
                      <w:lang w:bidi="ar-EG"/>
                    </w:rPr>
                  </w:pPr>
                  <w:r w:rsidRPr="004A0591">
                    <w:rPr>
                      <w:rFonts w:ascii="Calibri" w:hAnsi="Calibri" w:cs="Calibri"/>
                      <w:b/>
                      <w:bCs/>
                      <w:noProof/>
                    </w:rPr>
                    <w:drawing>
                      <wp:inline distT="0" distB="0" distL="0" distR="0">
                        <wp:extent cx="1704975" cy="1152525"/>
                        <wp:effectExtent l="0" t="0" r="0" b="0"/>
                        <wp:docPr id="9" name="Object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tc>
            </w:tr>
          </w:tbl>
          <w:p w:rsidR="00070ED3" w:rsidRDefault="00070ED3"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Default="008E4DC1" w:rsidP="00A21CC2">
            <w:pPr>
              <w:ind w:right="63"/>
              <w:jc w:val="right"/>
              <w:rPr>
                <w:rFonts w:ascii="Calibri" w:hAnsi="Calibri" w:cs="Calibri"/>
                <w:szCs w:val="18"/>
              </w:rPr>
            </w:pPr>
          </w:p>
          <w:p w:rsidR="008E4DC1" w:rsidRPr="008A11AD" w:rsidRDefault="008E4DC1" w:rsidP="00A21CC2">
            <w:pPr>
              <w:ind w:right="63"/>
              <w:jc w:val="right"/>
              <w:rPr>
                <w:rFonts w:ascii="Calibri" w:hAnsi="Calibri" w:cs="Calibri"/>
                <w:szCs w:val="18"/>
              </w:rPr>
            </w:pPr>
          </w:p>
          <w:p w:rsidR="00810BAF" w:rsidRPr="00C8255E" w:rsidRDefault="000D1A73" w:rsidP="00A21CC2">
            <w:pPr>
              <w:ind w:right="63"/>
              <w:jc w:val="right"/>
              <w:rPr>
                <w:rFonts w:ascii="Calibri" w:hAnsi="Calibri" w:cs="Calibri"/>
                <w:b/>
                <w:bCs/>
                <w:sz w:val="24"/>
              </w:rPr>
            </w:pPr>
            <w:r w:rsidRPr="00C8255E">
              <w:rPr>
                <w:rFonts w:ascii="Calibri" w:hAnsi="Calibri" w:cs="Calibri"/>
                <w:b/>
                <w:bCs/>
                <w:sz w:val="24"/>
              </w:rPr>
              <w:t>24 August 2010</w:t>
            </w:r>
          </w:p>
          <w:p w:rsidR="000D1A73" w:rsidRPr="004A0591" w:rsidRDefault="000D1A73" w:rsidP="00A21CC2">
            <w:pPr>
              <w:ind w:right="63"/>
              <w:jc w:val="right"/>
              <w:rPr>
                <w:rFonts w:ascii="Calibri" w:hAnsi="Calibri" w:cs="Calibri"/>
              </w:rPr>
            </w:pPr>
          </w:p>
          <w:p w:rsidR="0019087E" w:rsidRPr="009C5E6A" w:rsidRDefault="0019087E"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19087E" w:rsidRPr="009C5E6A" w:rsidRDefault="0019087E" w:rsidP="00A21CC2">
            <w:pPr>
              <w:ind w:right="63"/>
              <w:jc w:val="right"/>
              <w:rPr>
                <w:rFonts w:ascii="Calibri" w:hAnsi="Calibri" w:cs="Calibri"/>
                <w:sz w:val="22"/>
                <w:szCs w:val="22"/>
              </w:rPr>
            </w:pPr>
            <w:r w:rsidRPr="009C5E6A">
              <w:rPr>
                <w:rFonts w:ascii="Calibri" w:hAnsi="Calibri" w:cs="Calibri"/>
                <w:sz w:val="22"/>
                <w:szCs w:val="22"/>
              </w:rPr>
              <w:t>+</w:t>
            </w:r>
            <w:r>
              <w:rPr>
                <w:rFonts w:ascii="Calibri" w:hAnsi="Calibri" w:cs="Calibri"/>
                <w:sz w:val="22"/>
                <w:szCs w:val="22"/>
              </w:rPr>
              <w:t xml:space="preserve">971 4 </w:t>
            </w:r>
            <w:r w:rsidRPr="009C5E6A">
              <w:rPr>
                <w:rFonts w:ascii="Calibri" w:hAnsi="Calibri" w:cs="Calibri"/>
                <w:sz w:val="22"/>
                <w:szCs w:val="22"/>
              </w:rPr>
              <w:t>456</w:t>
            </w:r>
            <w:r>
              <w:rPr>
                <w:rFonts w:ascii="Calibri" w:hAnsi="Calibri" w:cs="Calibri"/>
                <w:sz w:val="22"/>
                <w:szCs w:val="22"/>
              </w:rPr>
              <w:t xml:space="preserve"> </w:t>
            </w:r>
            <w:r w:rsidRPr="009C5E6A">
              <w:rPr>
                <w:rFonts w:ascii="Calibri" w:hAnsi="Calibri" w:cs="Calibri"/>
                <w:sz w:val="22"/>
                <w:szCs w:val="22"/>
              </w:rPr>
              <w:t>7890</w:t>
            </w:r>
          </w:p>
          <w:p w:rsidR="0019087E" w:rsidRPr="009C5E6A" w:rsidRDefault="0019087E" w:rsidP="00A21CC2">
            <w:pPr>
              <w:ind w:right="63"/>
              <w:jc w:val="right"/>
              <w:rPr>
                <w:rFonts w:ascii="Calibri" w:hAnsi="Calibri" w:cs="Calibri"/>
                <w:sz w:val="22"/>
                <w:szCs w:val="22"/>
              </w:rPr>
            </w:pPr>
            <w:r w:rsidRPr="009C5E6A">
              <w:rPr>
                <w:rFonts w:ascii="Calibri" w:hAnsi="Calibri" w:cs="Calibri"/>
                <w:sz w:val="22"/>
                <w:szCs w:val="22"/>
              </w:rPr>
              <w:t>contact@hc-si.com</w:t>
            </w:r>
          </w:p>
          <w:p w:rsidR="00A96396" w:rsidRDefault="00A96396" w:rsidP="00A21CC2">
            <w:pPr>
              <w:ind w:right="63"/>
              <w:jc w:val="right"/>
              <w:rPr>
                <w:rFonts w:ascii="Calibri" w:hAnsi="Calibri" w:cs="Calibri"/>
              </w:rPr>
            </w:pPr>
          </w:p>
          <w:p w:rsidR="00A75CE0" w:rsidRPr="009C5E6A" w:rsidRDefault="00A75CE0"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w:t>
            </w:r>
            <w:r w:rsidR="00D6204E">
              <w:rPr>
                <w:rFonts w:ascii="Calibri" w:hAnsi="Calibri" w:cs="Calibri"/>
                <w:sz w:val="22"/>
                <w:szCs w:val="22"/>
              </w:rPr>
              <w:t xml:space="preserve">971 4 </w:t>
            </w:r>
            <w:r w:rsidRPr="009C5E6A">
              <w:rPr>
                <w:rFonts w:ascii="Calibri" w:hAnsi="Calibri" w:cs="Calibri"/>
                <w:sz w:val="22"/>
                <w:szCs w:val="22"/>
              </w:rPr>
              <w:t>456</w:t>
            </w:r>
            <w:r w:rsidR="00D6204E">
              <w:rPr>
                <w:rFonts w:ascii="Calibri" w:hAnsi="Calibri" w:cs="Calibri"/>
                <w:sz w:val="22"/>
                <w:szCs w:val="22"/>
              </w:rPr>
              <w:t xml:space="preserve"> </w:t>
            </w:r>
            <w:r w:rsidRPr="009C5E6A">
              <w:rPr>
                <w:rFonts w:ascii="Calibri" w:hAnsi="Calibri" w:cs="Calibri"/>
                <w:sz w:val="22"/>
                <w:szCs w:val="22"/>
              </w:rPr>
              <w:t>7890</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contact@hc-si.com</w:t>
            </w:r>
          </w:p>
          <w:p w:rsidR="00A75CE0" w:rsidRPr="00525126" w:rsidRDefault="00A75CE0" w:rsidP="00A21CC2">
            <w:pPr>
              <w:ind w:right="63"/>
              <w:jc w:val="right"/>
              <w:rPr>
                <w:rFonts w:ascii="Calibri" w:hAnsi="Calibri" w:cs="Calibri"/>
                <w:szCs w:val="18"/>
              </w:rPr>
            </w:pPr>
          </w:p>
          <w:p w:rsidR="00A75CE0" w:rsidRPr="009C5E6A" w:rsidRDefault="00A75CE0"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w:t>
            </w:r>
            <w:r w:rsidR="00D6204E">
              <w:rPr>
                <w:rFonts w:ascii="Calibri" w:hAnsi="Calibri" w:cs="Calibri"/>
                <w:sz w:val="22"/>
                <w:szCs w:val="22"/>
              </w:rPr>
              <w:t>971 4 4</w:t>
            </w:r>
            <w:r w:rsidRPr="009C5E6A">
              <w:rPr>
                <w:rFonts w:ascii="Calibri" w:hAnsi="Calibri" w:cs="Calibri"/>
                <w:sz w:val="22"/>
                <w:szCs w:val="22"/>
              </w:rPr>
              <w:t>56</w:t>
            </w:r>
            <w:r w:rsidR="00D6204E">
              <w:rPr>
                <w:rFonts w:ascii="Calibri" w:hAnsi="Calibri" w:cs="Calibri"/>
                <w:sz w:val="22"/>
                <w:szCs w:val="22"/>
              </w:rPr>
              <w:t xml:space="preserve"> </w:t>
            </w:r>
            <w:r w:rsidRPr="009C5E6A">
              <w:rPr>
                <w:rFonts w:ascii="Calibri" w:hAnsi="Calibri" w:cs="Calibri"/>
                <w:sz w:val="22"/>
                <w:szCs w:val="22"/>
              </w:rPr>
              <w:t>7890</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contact@hc-si.com</w:t>
            </w:r>
          </w:p>
          <w:p w:rsidR="00A75CE0" w:rsidRDefault="00A75CE0" w:rsidP="00A21CC2">
            <w:pPr>
              <w:ind w:right="63"/>
              <w:jc w:val="right"/>
              <w:rPr>
                <w:rFonts w:ascii="Calibri" w:hAnsi="Calibri" w:cs="Calibri"/>
              </w:rPr>
            </w:pPr>
          </w:p>
          <w:p w:rsidR="00CA6C2C" w:rsidRPr="009C5E6A" w:rsidRDefault="00CA6C2C"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CA6C2C" w:rsidRPr="009C5E6A" w:rsidRDefault="00CA6C2C" w:rsidP="00A21CC2">
            <w:pPr>
              <w:ind w:right="63"/>
              <w:jc w:val="right"/>
              <w:rPr>
                <w:rFonts w:ascii="Calibri" w:hAnsi="Calibri" w:cs="Calibri"/>
                <w:sz w:val="22"/>
                <w:szCs w:val="22"/>
              </w:rPr>
            </w:pPr>
            <w:r w:rsidRPr="009C5E6A">
              <w:rPr>
                <w:rFonts w:ascii="Calibri" w:hAnsi="Calibri" w:cs="Calibri"/>
                <w:sz w:val="22"/>
                <w:szCs w:val="22"/>
              </w:rPr>
              <w:t>+</w:t>
            </w:r>
            <w:r>
              <w:rPr>
                <w:rFonts w:ascii="Calibri" w:hAnsi="Calibri" w:cs="Calibri"/>
                <w:sz w:val="22"/>
                <w:szCs w:val="22"/>
              </w:rPr>
              <w:t xml:space="preserve">20 2 3355 </w:t>
            </w:r>
            <w:r w:rsidRPr="009C5E6A">
              <w:rPr>
                <w:rFonts w:ascii="Calibri" w:hAnsi="Calibri" w:cs="Calibri"/>
                <w:sz w:val="22"/>
                <w:szCs w:val="22"/>
              </w:rPr>
              <w:t>7890</w:t>
            </w:r>
          </w:p>
          <w:p w:rsidR="00CA6C2C" w:rsidRDefault="00CA6C2C" w:rsidP="00A21CC2">
            <w:pPr>
              <w:ind w:right="63"/>
              <w:jc w:val="right"/>
              <w:rPr>
                <w:rFonts w:ascii="Calibri" w:hAnsi="Calibri" w:cs="Calibri"/>
                <w:sz w:val="22"/>
                <w:szCs w:val="22"/>
              </w:rPr>
            </w:pPr>
            <w:r w:rsidRPr="009C5E6A">
              <w:rPr>
                <w:rFonts w:ascii="Calibri" w:hAnsi="Calibri" w:cs="Calibri"/>
                <w:sz w:val="22"/>
                <w:szCs w:val="22"/>
              </w:rPr>
              <w:t>contact@hc-si.com</w:t>
            </w:r>
          </w:p>
          <w:p w:rsidR="00CA6C2C" w:rsidRPr="008A11AD" w:rsidRDefault="00CA6C2C" w:rsidP="00A21CC2">
            <w:pPr>
              <w:ind w:right="63"/>
              <w:jc w:val="right"/>
              <w:rPr>
                <w:rFonts w:ascii="Calibri" w:hAnsi="Calibri" w:cs="Calibri"/>
                <w:szCs w:val="18"/>
              </w:rPr>
            </w:pPr>
          </w:p>
          <w:p w:rsidR="00347C64" w:rsidRPr="0006097F" w:rsidRDefault="00A75CE0" w:rsidP="00A21CC2">
            <w:pPr>
              <w:pStyle w:val="iRDisclaimerRef"/>
              <w:ind w:right="63"/>
              <w:jc w:val="right"/>
              <w:rPr>
                <w:rFonts w:ascii="Verdana" w:hAnsi="Verdana" w:cs="Calibri"/>
                <w:b/>
                <w:bCs/>
                <w:color w:val="auto"/>
                <w:sz w:val="16"/>
                <w:szCs w:val="16"/>
              </w:rPr>
            </w:pPr>
            <w:r w:rsidRPr="0006097F">
              <w:rPr>
                <w:rFonts w:ascii="Calibri" w:hAnsi="Calibri" w:cs="Calibri"/>
                <w:b/>
                <w:bCs/>
                <w:color w:val="auto"/>
                <w:sz w:val="16"/>
                <w:szCs w:val="16"/>
              </w:rPr>
              <w:t>Disclaimer: See page X</w:t>
            </w:r>
          </w:p>
        </w:tc>
      </w:tr>
    </w:tbl>
    <w:p w:rsidR="000C4847" w:rsidRPr="00AA3236" w:rsidRDefault="000C4847" w:rsidP="001F6D71">
      <w:pPr>
        <w:rPr>
          <w:rFonts w:ascii="Verdana" w:hAnsi="Verdana" w:cs="Calibri"/>
        </w:rPr>
      </w:pPr>
    </w:p>
    <w:sectPr w:rsidR="000C4847" w:rsidRPr="00AA3236" w:rsidSect="00B61EF1">
      <w:headerReference w:type="default" r:id="rId9"/>
      <w:footerReference w:type="default" r:id="rId10"/>
      <w:headerReference w:type="first" r:id="rId11"/>
      <w:footerReference w:type="first" r:id="rId12"/>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14AB6" w:rsidRDefault="00814AB6">
      <w:r>
        <w:separator/>
      </w:r>
    </w:p>
  </w:endnote>
  <w:endnote w:type="continuationSeparator" w:id="0">
    <w:p w:rsidR="00814AB6" w:rsidRDefault="00814AB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yriad Pro">
    <w:panose1 w:val="00000000000000000000"/>
    <w:charset w:val="00"/>
    <w:family w:val="swiss"/>
    <w:notTrueType/>
    <w:pitch w:val="variable"/>
    <w:sig w:usb0="A00002AF" w:usb1="5000204B" w:usb2="00000000" w:usb3="00000000" w:csb0="000000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17239280"/>
      <w:docPartObj>
        <w:docPartGallery w:val="Page Numbers (Bottom of Page)"/>
        <w:docPartUnique/>
      </w:docPartObj>
    </w:sdtPr>
    <w:sdtEndPr>
      <w:rPr>
        <w:rFonts w:ascii="Calibri" w:hAnsi="Calibri"/>
        <w:b/>
        <w:bCs/>
        <w:sz w:val="20"/>
        <w:szCs w:val="20"/>
      </w:rPr>
    </w:sdtEndPr>
    <w:sdtContent>
      <w:p w:rsidR="0068264E" w:rsidRPr="0068264E" w:rsidRDefault="00D203EF">
        <w:pPr>
          <w:pStyle w:val="Footer"/>
          <w:jc w:val="right"/>
          <w:rPr>
            <w:rFonts w:ascii="Calibri" w:hAnsi="Calibri"/>
            <w:b/>
            <w:bCs/>
            <w:sz w:val="20"/>
            <w:szCs w:val="20"/>
          </w:rPr>
        </w:pPr>
        <w:r w:rsidRPr="0068264E">
          <w:rPr>
            <w:rFonts w:ascii="Calibri" w:hAnsi="Calibri"/>
            <w:b/>
            <w:bCs/>
            <w:sz w:val="20"/>
            <w:szCs w:val="20"/>
          </w:rPr>
          <w:fldChar w:fldCharType="begin"/>
        </w:r>
        <w:r w:rsidR="0068264E" w:rsidRPr="0068264E">
          <w:rPr>
            <w:rFonts w:ascii="Calibri" w:hAnsi="Calibri"/>
            <w:b/>
            <w:bCs/>
            <w:sz w:val="20"/>
            <w:szCs w:val="20"/>
          </w:rPr>
          <w:instrText xml:space="preserve"> PAGE   \* MERGEFORMAT </w:instrText>
        </w:r>
        <w:r w:rsidRPr="0068264E">
          <w:rPr>
            <w:rFonts w:ascii="Calibri" w:hAnsi="Calibri"/>
            <w:b/>
            <w:bCs/>
            <w:sz w:val="20"/>
            <w:szCs w:val="20"/>
          </w:rPr>
          <w:fldChar w:fldCharType="separate"/>
        </w:r>
        <w:r w:rsidR="00525126">
          <w:rPr>
            <w:rFonts w:ascii="Calibri" w:hAnsi="Calibri"/>
            <w:b/>
            <w:bCs/>
            <w:noProof/>
            <w:sz w:val="20"/>
            <w:szCs w:val="20"/>
          </w:rPr>
          <w:t>1</w:t>
        </w:r>
        <w:r w:rsidRPr="0068264E">
          <w:rPr>
            <w:rFonts w:ascii="Calibri" w:hAnsi="Calibri"/>
            <w:b/>
            <w:bCs/>
            <w:sz w:val="20"/>
            <w:szCs w:val="20"/>
          </w:rPr>
          <w:fldChar w:fldCharType="end"/>
        </w:r>
      </w:p>
    </w:sdtContent>
  </w:sdt>
  <w:p w:rsidR="009E703A" w:rsidRDefault="009E703A" w:rsidP="009E703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4E" w:rsidRPr="0068264E" w:rsidRDefault="0068264E" w:rsidP="0068264E">
    <w:pPr>
      <w:pStyle w:val="Footer"/>
      <w:jc w:val="right"/>
      <w:rPr>
        <w:rFonts w:ascii="Calibri" w:hAnsi="Calibri"/>
        <w:b/>
        <w:bCs/>
        <w:sz w:val="20"/>
        <w:szCs w:val="20"/>
      </w:rPr>
    </w:pPr>
  </w:p>
  <w:p w:rsidR="000A0FC3" w:rsidRPr="00DC7E60" w:rsidRDefault="000A0FC3">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14AB6" w:rsidRDefault="00814AB6">
      <w:r>
        <w:separator/>
      </w:r>
    </w:p>
  </w:footnote>
  <w:footnote w:type="continuationSeparator" w:id="0">
    <w:p w:rsidR="00814AB6" w:rsidRDefault="00814AB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419" w:type="pct"/>
      <w:tblInd w:w="648" w:type="dxa"/>
      <w:tblLayout w:type="fixed"/>
      <w:tblLook w:val="01E0"/>
    </w:tblPr>
    <w:tblGrid>
      <w:gridCol w:w="7560"/>
      <w:gridCol w:w="1619"/>
    </w:tblGrid>
    <w:tr w:rsidR="00AA3CE3" w:rsidTr="00264203">
      <w:trPr>
        <w:trHeight w:val="1148"/>
      </w:trPr>
      <w:tc>
        <w:tcPr>
          <w:tcW w:w="4118" w:type="pct"/>
          <w:tcBorders>
            <w:bottom w:val="single" w:sz="12" w:space="0" w:color="396295" w:themeColor="accent6" w:themeShade="80"/>
          </w:tcBorders>
          <w:shd w:val="clear" w:color="auto" w:fill="auto"/>
          <w:vAlign w:val="center"/>
        </w:tcPr>
        <w:p w:rsidR="00AA3CE3" w:rsidRPr="003D18B1"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Company Name</w:t>
          </w:r>
        </w:p>
        <w:p w:rsidR="00AA3CE3"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Sector | Country</w:t>
          </w:r>
        </w:p>
        <w:p w:rsidR="00AA3CE3" w:rsidRPr="00C41D3C" w:rsidRDefault="00AA3CE3" w:rsidP="003D18B1">
          <w:pPr>
            <w:pStyle w:val="Header"/>
            <w:rPr>
              <w:rFonts w:ascii="Calibri" w:hAnsi="Calibri"/>
              <w:b/>
              <w:bCs/>
              <w:sz w:val="20"/>
              <w:szCs w:val="20"/>
            </w:rPr>
          </w:pPr>
          <w:r w:rsidRPr="003D18B1">
            <w:rPr>
              <w:rFonts w:ascii="Calibri" w:hAnsi="Calibri" w:cs="Calibri"/>
              <w:b/>
              <w:bCs/>
              <w:color w:val="396295" w:themeColor="accent6" w:themeShade="80"/>
              <w:szCs w:val="18"/>
            </w:rPr>
            <w:t>24 August 2010</w:t>
          </w:r>
        </w:p>
      </w:tc>
      <w:tc>
        <w:tcPr>
          <w:tcW w:w="882" w:type="pct"/>
        </w:tcPr>
        <w:p w:rsidR="00AA3CE3" w:rsidRDefault="00AA3CE3">
          <w:pPr>
            <w:pStyle w:val="Header"/>
          </w:pPr>
          <w:r w:rsidRPr="005A6F66">
            <w:rPr>
              <w:noProof/>
            </w:rPr>
            <w:drawing>
              <wp:inline distT="0" distB="0" distL="0" distR="0">
                <wp:extent cx="887160" cy="682388"/>
                <wp:effectExtent l="19050" t="0" r="8190"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894085" cy="687715"/>
                        </a:xfrm>
                        <a:prstGeom prst="rect">
                          <a:avLst/>
                        </a:prstGeom>
                        <a:noFill/>
                        <a:ln w="9525">
                          <a:noFill/>
                          <a:miter lim="800000"/>
                          <a:headEnd/>
                          <a:tailEnd/>
                        </a:ln>
                      </pic:spPr>
                    </pic:pic>
                  </a:graphicData>
                </a:graphic>
              </wp:inline>
            </w:drawing>
          </w:r>
        </w:p>
      </w:tc>
    </w:tr>
  </w:tbl>
  <w:p w:rsidR="000A0FC3" w:rsidRDefault="000A0FC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203AEC" w:rsidRPr="00B37524" w:rsidTr="00203AEC">
      <w:trPr>
        <w:trHeight w:val="273"/>
      </w:trPr>
      <w:tc>
        <w:tcPr>
          <w:tcW w:w="1936" w:type="pct"/>
          <w:gridSpan w:val="2"/>
          <w:shd w:val="clear" w:color="auto" w:fill="012362"/>
          <w:vAlign w:val="center"/>
        </w:tcPr>
        <w:p w:rsidR="00203AEC" w:rsidRPr="00FB1F19" w:rsidRDefault="00E85B20" w:rsidP="001D0C45">
          <w:pPr>
            <w:pStyle w:val="iRDepartmentHeader"/>
            <w:rPr>
              <w:rFonts w:ascii="Calibri" w:hAnsi="Calibri" w:cs="Calibri"/>
              <w:b/>
              <w:bCs/>
              <w:sz w:val="20"/>
              <w:szCs w:val="20"/>
            </w:rPr>
          </w:pPr>
          <w:r>
            <w:rPr>
              <w:rFonts w:ascii="Calibri" w:hAnsi="Calibri" w:cs="Calibri"/>
              <w:b/>
              <w:bCs/>
              <w:sz w:val="20"/>
              <w:szCs w:val="20"/>
            </w:rPr>
            <w:t xml:space="preserve">Macro and Strategy </w:t>
          </w:r>
          <w:r w:rsidR="001D0C45">
            <w:rPr>
              <w:rFonts w:ascii="Calibri" w:hAnsi="Calibri" w:cs="Calibri"/>
              <w:b/>
              <w:bCs/>
              <w:sz w:val="20"/>
              <w:szCs w:val="20"/>
            </w:rPr>
            <w:t>Note</w:t>
          </w:r>
        </w:p>
      </w:tc>
      <w:tc>
        <w:tcPr>
          <w:tcW w:w="2064" w:type="pct"/>
          <w:shd w:val="clear" w:color="auto" w:fill="012362"/>
          <w:vAlign w:val="bottom"/>
        </w:tcPr>
        <w:p w:rsidR="00203AEC" w:rsidRPr="00674406" w:rsidRDefault="00203AEC" w:rsidP="00880C21">
          <w:pPr>
            <w:pStyle w:val="CountrySectorNameHeader"/>
            <w:rPr>
              <w:rFonts w:ascii="Calibri" w:hAnsi="Calibri" w:cs="Calibri"/>
              <w:b/>
              <w:bCs/>
              <w:sz w:val="20"/>
              <w:szCs w:val="20"/>
            </w:rPr>
          </w:pPr>
        </w:p>
      </w:tc>
      <w:tc>
        <w:tcPr>
          <w:tcW w:w="130" w:type="pct"/>
          <w:vMerge w:val="restart"/>
          <w:shd w:val="clear" w:color="auto" w:fill="auto"/>
        </w:tcPr>
        <w:p w:rsidR="00203AEC" w:rsidRPr="00B37524" w:rsidRDefault="00203AEC" w:rsidP="001155D7">
          <w:pPr>
            <w:rPr>
              <w:rFonts w:ascii="Calibri" w:hAnsi="Calibri" w:cs="Calibri"/>
              <w:sz w:val="20"/>
              <w:szCs w:val="20"/>
            </w:rPr>
          </w:pPr>
        </w:p>
      </w:tc>
      <w:tc>
        <w:tcPr>
          <w:tcW w:w="870" w:type="pct"/>
          <w:vMerge w:val="restart"/>
          <w:shd w:val="clear" w:color="auto" w:fill="auto"/>
          <w:vAlign w:val="center"/>
        </w:tcPr>
        <w:p w:rsidR="00203AEC" w:rsidRPr="00B37524" w:rsidRDefault="00203AEC" w:rsidP="00203AEC">
          <w:pPr>
            <w:tabs>
              <w:tab w:val="left" w:pos="5796"/>
            </w:tabs>
            <w:ind w:left="-144" w:right="161"/>
            <w:jc w:val="right"/>
            <w:rPr>
              <w:rFonts w:ascii="Calibri" w:hAnsi="Calibri" w:cs="Calibri"/>
            </w:rPr>
          </w:pPr>
          <w:r w:rsidRPr="00B37524">
            <w:rPr>
              <w:rFonts w:ascii="Calibri" w:hAnsi="Calibri" w:cs="Calibri"/>
              <w:noProof/>
            </w:rPr>
            <w:drawing>
              <wp:inline distT="0" distB="0" distL="0" distR="0">
                <wp:extent cx="1117986" cy="896857"/>
                <wp:effectExtent l="19050" t="0" r="5964" b="0"/>
                <wp:docPr id="1"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17986" cy="896857"/>
                        </a:xfrm>
                        <a:prstGeom prst="rect">
                          <a:avLst/>
                        </a:prstGeom>
                        <a:noFill/>
                      </pic:spPr>
                    </pic:pic>
                  </a:graphicData>
                </a:graphic>
              </wp:inline>
            </w:drawing>
          </w:r>
        </w:p>
      </w:tc>
    </w:tr>
    <w:tr w:rsidR="002B0CC4" w:rsidRPr="00B37524" w:rsidTr="00203AEC">
      <w:trPr>
        <w:trHeight w:hRule="exact" w:val="864"/>
      </w:trPr>
      <w:tc>
        <w:tcPr>
          <w:tcW w:w="4000" w:type="pct"/>
          <w:gridSpan w:val="3"/>
          <w:shd w:val="clear" w:color="auto" w:fill="012362"/>
          <w:vAlign w:val="center"/>
        </w:tcPr>
        <w:p w:rsidR="000A0FC3" w:rsidRDefault="00A90D46" w:rsidP="00535B2F">
          <w:pPr>
            <w:pStyle w:val="iRCompanySectorNameHeader"/>
            <w:rPr>
              <w:rFonts w:ascii="Calibri" w:hAnsi="Calibri" w:cs="Calibri"/>
            </w:rPr>
          </w:pPr>
          <w:r>
            <w:rPr>
              <w:rFonts w:ascii="Calibri" w:hAnsi="Calibri" w:cs="Calibri"/>
            </w:rPr>
            <w:t>Country</w:t>
          </w:r>
        </w:p>
        <w:p w:rsidR="00203AEC" w:rsidRDefault="00203AEC" w:rsidP="00535B2F">
          <w:pPr>
            <w:pStyle w:val="iRCompanySectorNameHeader"/>
            <w:rPr>
              <w:rFonts w:ascii="Calibri" w:hAnsi="Calibri" w:cs="Calibri"/>
            </w:rPr>
          </w:pPr>
        </w:p>
        <w:p w:rsidR="00203AEC" w:rsidRDefault="00203AEC" w:rsidP="00535B2F">
          <w:pPr>
            <w:pStyle w:val="iRCompanySectorNameHeader"/>
            <w:rPr>
              <w:rFonts w:ascii="Calibri" w:hAnsi="Calibri" w:cs="Calibri"/>
            </w:rPr>
          </w:pPr>
        </w:p>
        <w:p w:rsidR="00203AEC" w:rsidRPr="00B37524" w:rsidRDefault="00203AEC" w:rsidP="00535B2F">
          <w:pPr>
            <w:pStyle w:val="iRCompanySectorNameHeader"/>
            <w:rPr>
              <w:rFonts w:ascii="Calibri" w:hAnsi="Calibri" w:cs="Calibri"/>
              <w:sz w:val="80"/>
              <w:szCs w:val="80"/>
            </w:rPr>
          </w:pPr>
        </w:p>
      </w:tc>
      <w:tc>
        <w:tcPr>
          <w:tcW w:w="130" w:type="pct"/>
          <w:vMerge/>
          <w:shd w:val="clear" w:color="auto" w:fill="auto"/>
        </w:tcPr>
        <w:p w:rsidR="000A0FC3" w:rsidRPr="00B37524" w:rsidRDefault="000A0FC3" w:rsidP="001155D7">
          <w:pPr>
            <w:rPr>
              <w:rFonts w:ascii="Calibri" w:hAnsi="Calibri" w:cs="Calibri"/>
            </w:rPr>
          </w:pPr>
        </w:p>
      </w:tc>
      <w:tc>
        <w:tcPr>
          <w:tcW w:w="870" w:type="pct"/>
          <w:vMerge/>
          <w:shd w:val="clear" w:color="auto" w:fill="auto"/>
        </w:tcPr>
        <w:p w:rsidR="000A0FC3" w:rsidRPr="00B37524" w:rsidRDefault="000A0FC3" w:rsidP="001155D7">
          <w:pPr>
            <w:rPr>
              <w:rFonts w:ascii="Calibri" w:hAnsi="Calibri" w:cs="Calibri"/>
            </w:rPr>
          </w:pPr>
        </w:p>
      </w:tc>
    </w:tr>
    <w:tr w:rsidR="00E85B20" w:rsidRPr="00B37524" w:rsidTr="00E85B20">
      <w:trPr>
        <w:trHeight w:hRule="exact" w:val="288"/>
      </w:trPr>
      <w:tc>
        <w:tcPr>
          <w:tcW w:w="1305" w:type="pct"/>
          <w:shd w:val="clear" w:color="auto" w:fill="002060"/>
          <w:vAlign w:val="center"/>
        </w:tcPr>
        <w:p w:rsidR="00E85B20" w:rsidRPr="00FB1F19" w:rsidRDefault="001D0C45" w:rsidP="001D0C45">
          <w:pPr>
            <w:pStyle w:val="iRDepartmentHeader"/>
            <w:jc w:val="both"/>
            <w:rPr>
              <w:rFonts w:ascii="Calibri" w:hAnsi="Calibri" w:cs="Calibri"/>
              <w:b/>
              <w:bCs/>
              <w:sz w:val="20"/>
              <w:szCs w:val="20"/>
            </w:rPr>
          </w:pPr>
          <w:r>
            <w:rPr>
              <w:rFonts w:ascii="Calibri" w:hAnsi="Calibri" w:cs="Calibri"/>
              <w:b/>
              <w:bCs/>
              <w:sz w:val="20"/>
              <w:szCs w:val="20"/>
            </w:rPr>
            <w:t xml:space="preserve">Sector | </w:t>
          </w:r>
          <w:r w:rsidR="00E85B20">
            <w:rPr>
              <w:rFonts w:ascii="Calibri" w:hAnsi="Calibri" w:cs="Calibri"/>
              <w:b/>
              <w:bCs/>
              <w:sz w:val="20"/>
              <w:szCs w:val="20"/>
            </w:rPr>
            <w:t>Country</w:t>
          </w:r>
        </w:p>
      </w:tc>
      <w:tc>
        <w:tcPr>
          <w:tcW w:w="2695" w:type="pct"/>
          <w:gridSpan w:val="2"/>
          <w:shd w:val="clear" w:color="auto" w:fill="002060"/>
          <w:vAlign w:val="bottom"/>
        </w:tcPr>
        <w:p w:rsidR="00E85B20" w:rsidRPr="00C70EDA" w:rsidRDefault="00E85B20" w:rsidP="00E85B20">
          <w:pPr>
            <w:pStyle w:val="iRDepartmentHeader"/>
            <w:jc w:val="right"/>
            <w:rPr>
              <w:rFonts w:ascii="Calibri" w:hAnsi="Calibri" w:cs="Calibri"/>
              <w:sz w:val="20"/>
              <w:szCs w:val="20"/>
            </w:rPr>
          </w:pPr>
          <w:r>
            <w:rPr>
              <w:rFonts w:ascii="Calibri" w:hAnsi="Calibri" w:cs="Calibri"/>
              <w:b/>
              <w:bCs/>
              <w:sz w:val="20"/>
              <w:szCs w:val="20"/>
            </w:rPr>
            <w:t>MENA Research</w:t>
          </w:r>
        </w:p>
      </w:tc>
      <w:tc>
        <w:tcPr>
          <w:tcW w:w="130" w:type="pct"/>
          <w:vMerge/>
          <w:shd w:val="clear" w:color="auto" w:fill="4D6894"/>
        </w:tcPr>
        <w:p w:rsidR="00E85B20" w:rsidRPr="00B37524" w:rsidRDefault="00E85B20" w:rsidP="00535B2F">
          <w:pPr>
            <w:rPr>
              <w:rFonts w:ascii="Calibri" w:hAnsi="Calibri" w:cs="Calibri"/>
            </w:rPr>
          </w:pPr>
        </w:p>
      </w:tc>
      <w:tc>
        <w:tcPr>
          <w:tcW w:w="870" w:type="pct"/>
          <w:vMerge/>
          <w:shd w:val="clear" w:color="auto" w:fill="4D6894"/>
          <w:vAlign w:val="center"/>
        </w:tcPr>
        <w:p w:rsidR="00E85B20" w:rsidRPr="00B37524" w:rsidRDefault="00E85B20" w:rsidP="00535B2F">
          <w:pPr>
            <w:rPr>
              <w:rFonts w:ascii="Calibri" w:hAnsi="Calibri" w:cs="Calibri"/>
            </w:rPr>
          </w:pPr>
        </w:p>
      </w:tc>
    </w:tr>
  </w:tbl>
  <w:p w:rsidR="000A0FC3" w:rsidRPr="00525126" w:rsidRDefault="000A0FC3">
    <w:pPr>
      <w:pStyle w:val="Header"/>
      <w:rPr>
        <w:rFonts w:ascii="Calibri" w:hAnsi="Calibri" w:cs="Calibri"/>
      </w:rPr>
    </w:pPr>
  </w:p>
  <w:p w:rsidR="0099534F" w:rsidRPr="00525126" w:rsidRDefault="0099534F">
    <w:pPr>
      <w:pStyle w:val="Header"/>
      <w:rPr>
        <w:rFonts w:ascii="Calibri" w:hAnsi="Calibri" w:cs="Calibri"/>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90"/>
  <w:displayHorizontalDrawingGridEvery w:val="2"/>
  <w:characterSpacingControl w:val="doNotCompress"/>
  <w:savePreviewPicture/>
  <w:hdrShapeDefaults>
    <o:shapedefaults v:ext="edit" spidmax="4098"/>
  </w:hdrShapeDefaults>
  <w:footnotePr>
    <w:footnote w:id="-1"/>
    <w:footnote w:id="0"/>
  </w:footnotePr>
  <w:endnotePr>
    <w:endnote w:id="-1"/>
    <w:endnote w:id="0"/>
  </w:endnotePr>
  <w:compat/>
  <w:rsids>
    <w:rsidRoot w:val="00E04AA5"/>
    <w:rsid w:val="0000239B"/>
    <w:rsid w:val="00005368"/>
    <w:rsid w:val="00005FAB"/>
    <w:rsid w:val="00010742"/>
    <w:rsid w:val="00011989"/>
    <w:rsid w:val="000216AC"/>
    <w:rsid w:val="000259A2"/>
    <w:rsid w:val="00025B6E"/>
    <w:rsid w:val="000275E2"/>
    <w:rsid w:val="0003459E"/>
    <w:rsid w:val="000433C9"/>
    <w:rsid w:val="000555EE"/>
    <w:rsid w:val="00056A90"/>
    <w:rsid w:val="0006097F"/>
    <w:rsid w:val="0006106A"/>
    <w:rsid w:val="0006357C"/>
    <w:rsid w:val="00063C4B"/>
    <w:rsid w:val="00065437"/>
    <w:rsid w:val="00070ED3"/>
    <w:rsid w:val="00071C73"/>
    <w:rsid w:val="00082BB4"/>
    <w:rsid w:val="00092824"/>
    <w:rsid w:val="00095F12"/>
    <w:rsid w:val="00096A45"/>
    <w:rsid w:val="000A0FC3"/>
    <w:rsid w:val="000B6A69"/>
    <w:rsid w:val="000C4847"/>
    <w:rsid w:val="000D14E3"/>
    <w:rsid w:val="000D1A73"/>
    <w:rsid w:val="000D620E"/>
    <w:rsid w:val="000E47C1"/>
    <w:rsid w:val="000F2D4F"/>
    <w:rsid w:val="00103DEE"/>
    <w:rsid w:val="001120F5"/>
    <w:rsid w:val="001155D7"/>
    <w:rsid w:val="0012601D"/>
    <w:rsid w:val="001343D1"/>
    <w:rsid w:val="001348FD"/>
    <w:rsid w:val="001539D2"/>
    <w:rsid w:val="001613CF"/>
    <w:rsid w:val="001639F6"/>
    <w:rsid w:val="001661C1"/>
    <w:rsid w:val="00166217"/>
    <w:rsid w:val="00170BD6"/>
    <w:rsid w:val="00181483"/>
    <w:rsid w:val="00184DA5"/>
    <w:rsid w:val="0019087E"/>
    <w:rsid w:val="00196ED6"/>
    <w:rsid w:val="001B1CBE"/>
    <w:rsid w:val="001B7686"/>
    <w:rsid w:val="001B7EE1"/>
    <w:rsid w:val="001D0C45"/>
    <w:rsid w:val="001D4023"/>
    <w:rsid w:val="001D5E20"/>
    <w:rsid w:val="001E3C35"/>
    <w:rsid w:val="001F1121"/>
    <w:rsid w:val="001F2719"/>
    <w:rsid w:val="001F6D71"/>
    <w:rsid w:val="002030E0"/>
    <w:rsid w:val="00203AEC"/>
    <w:rsid w:val="002049CA"/>
    <w:rsid w:val="00212C79"/>
    <w:rsid w:val="0022360F"/>
    <w:rsid w:val="00244722"/>
    <w:rsid w:val="00250771"/>
    <w:rsid w:val="00251D42"/>
    <w:rsid w:val="00257521"/>
    <w:rsid w:val="0026186B"/>
    <w:rsid w:val="00264203"/>
    <w:rsid w:val="002714AC"/>
    <w:rsid w:val="002808D6"/>
    <w:rsid w:val="00280E99"/>
    <w:rsid w:val="00282D4F"/>
    <w:rsid w:val="00287B6F"/>
    <w:rsid w:val="0029382F"/>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6D4B"/>
    <w:rsid w:val="00324A64"/>
    <w:rsid w:val="00337EF9"/>
    <w:rsid w:val="00347C64"/>
    <w:rsid w:val="00351DEE"/>
    <w:rsid w:val="003561D4"/>
    <w:rsid w:val="003561DB"/>
    <w:rsid w:val="003574FE"/>
    <w:rsid w:val="00362F0F"/>
    <w:rsid w:val="00387195"/>
    <w:rsid w:val="00393D6C"/>
    <w:rsid w:val="0039491F"/>
    <w:rsid w:val="003A012B"/>
    <w:rsid w:val="003B1882"/>
    <w:rsid w:val="003C027E"/>
    <w:rsid w:val="003C0901"/>
    <w:rsid w:val="003C3973"/>
    <w:rsid w:val="003D18B1"/>
    <w:rsid w:val="003D4AD5"/>
    <w:rsid w:val="003F2B3E"/>
    <w:rsid w:val="003F3A6C"/>
    <w:rsid w:val="004030C3"/>
    <w:rsid w:val="0041456D"/>
    <w:rsid w:val="00424893"/>
    <w:rsid w:val="00435027"/>
    <w:rsid w:val="00437778"/>
    <w:rsid w:val="004448B6"/>
    <w:rsid w:val="00452B89"/>
    <w:rsid w:val="00455714"/>
    <w:rsid w:val="00474B90"/>
    <w:rsid w:val="00481BC7"/>
    <w:rsid w:val="004A00EE"/>
    <w:rsid w:val="004A0591"/>
    <w:rsid w:val="004A5773"/>
    <w:rsid w:val="004A6561"/>
    <w:rsid w:val="004C128F"/>
    <w:rsid w:val="004C6120"/>
    <w:rsid w:val="004E3073"/>
    <w:rsid w:val="00520FD2"/>
    <w:rsid w:val="00522BBA"/>
    <w:rsid w:val="005240A8"/>
    <w:rsid w:val="00525126"/>
    <w:rsid w:val="00533C03"/>
    <w:rsid w:val="00535B2F"/>
    <w:rsid w:val="005401BC"/>
    <w:rsid w:val="00542D19"/>
    <w:rsid w:val="0054324A"/>
    <w:rsid w:val="00551F6D"/>
    <w:rsid w:val="00551F9E"/>
    <w:rsid w:val="00554FE2"/>
    <w:rsid w:val="00560978"/>
    <w:rsid w:val="00561337"/>
    <w:rsid w:val="005619BF"/>
    <w:rsid w:val="00562223"/>
    <w:rsid w:val="00563B8B"/>
    <w:rsid w:val="00575F6F"/>
    <w:rsid w:val="005827B0"/>
    <w:rsid w:val="00582FA4"/>
    <w:rsid w:val="00585711"/>
    <w:rsid w:val="005A6F66"/>
    <w:rsid w:val="005B2938"/>
    <w:rsid w:val="005C1B5A"/>
    <w:rsid w:val="005C3A51"/>
    <w:rsid w:val="005C4B32"/>
    <w:rsid w:val="005D2DCB"/>
    <w:rsid w:val="005D62D2"/>
    <w:rsid w:val="005F264E"/>
    <w:rsid w:val="005F3586"/>
    <w:rsid w:val="00603814"/>
    <w:rsid w:val="00616617"/>
    <w:rsid w:val="006205C4"/>
    <w:rsid w:val="00622060"/>
    <w:rsid w:val="00636386"/>
    <w:rsid w:val="00637270"/>
    <w:rsid w:val="00642BFA"/>
    <w:rsid w:val="006570DE"/>
    <w:rsid w:val="0066401F"/>
    <w:rsid w:val="00672065"/>
    <w:rsid w:val="006731F3"/>
    <w:rsid w:val="0067363B"/>
    <w:rsid w:val="00674406"/>
    <w:rsid w:val="00675882"/>
    <w:rsid w:val="006774A2"/>
    <w:rsid w:val="0068264E"/>
    <w:rsid w:val="006852B3"/>
    <w:rsid w:val="00685488"/>
    <w:rsid w:val="00685E9A"/>
    <w:rsid w:val="00687050"/>
    <w:rsid w:val="006A66DC"/>
    <w:rsid w:val="006A6E38"/>
    <w:rsid w:val="006A709A"/>
    <w:rsid w:val="006A73EC"/>
    <w:rsid w:val="006B6BD9"/>
    <w:rsid w:val="006C217B"/>
    <w:rsid w:val="006C4F8A"/>
    <w:rsid w:val="006E1DEE"/>
    <w:rsid w:val="006E79C7"/>
    <w:rsid w:val="006F524A"/>
    <w:rsid w:val="007045AD"/>
    <w:rsid w:val="007062BE"/>
    <w:rsid w:val="0071706C"/>
    <w:rsid w:val="00717F6E"/>
    <w:rsid w:val="00725671"/>
    <w:rsid w:val="0073524B"/>
    <w:rsid w:val="00740261"/>
    <w:rsid w:val="00744484"/>
    <w:rsid w:val="00753667"/>
    <w:rsid w:val="0075463E"/>
    <w:rsid w:val="007710A9"/>
    <w:rsid w:val="007742D2"/>
    <w:rsid w:val="00786D37"/>
    <w:rsid w:val="00790CBD"/>
    <w:rsid w:val="007957DA"/>
    <w:rsid w:val="007A18E3"/>
    <w:rsid w:val="007A3F9C"/>
    <w:rsid w:val="007B7EB9"/>
    <w:rsid w:val="007C09DF"/>
    <w:rsid w:val="007D006F"/>
    <w:rsid w:val="007D4DCA"/>
    <w:rsid w:val="007D564F"/>
    <w:rsid w:val="007E1CF6"/>
    <w:rsid w:val="007E3E4A"/>
    <w:rsid w:val="007E48F6"/>
    <w:rsid w:val="007F1403"/>
    <w:rsid w:val="00810BAF"/>
    <w:rsid w:val="008144DC"/>
    <w:rsid w:val="0081489F"/>
    <w:rsid w:val="00814AB6"/>
    <w:rsid w:val="00823E1B"/>
    <w:rsid w:val="00827E30"/>
    <w:rsid w:val="00831AB8"/>
    <w:rsid w:val="00831D2A"/>
    <w:rsid w:val="008557B1"/>
    <w:rsid w:val="00855F59"/>
    <w:rsid w:val="0086354E"/>
    <w:rsid w:val="008662D0"/>
    <w:rsid w:val="00866449"/>
    <w:rsid w:val="00870C1B"/>
    <w:rsid w:val="008736C5"/>
    <w:rsid w:val="00876978"/>
    <w:rsid w:val="00877B22"/>
    <w:rsid w:val="00880C21"/>
    <w:rsid w:val="00890129"/>
    <w:rsid w:val="008929A6"/>
    <w:rsid w:val="008A11AD"/>
    <w:rsid w:val="008A16B8"/>
    <w:rsid w:val="008A3C16"/>
    <w:rsid w:val="008A553B"/>
    <w:rsid w:val="008B0A70"/>
    <w:rsid w:val="008B60A9"/>
    <w:rsid w:val="008C434B"/>
    <w:rsid w:val="008E0612"/>
    <w:rsid w:val="008E4DC1"/>
    <w:rsid w:val="00902AC5"/>
    <w:rsid w:val="0091258C"/>
    <w:rsid w:val="0092185F"/>
    <w:rsid w:val="009246CE"/>
    <w:rsid w:val="009247FE"/>
    <w:rsid w:val="00926691"/>
    <w:rsid w:val="00927F27"/>
    <w:rsid w:val="00927F44"/>
    <w:rsid w:val="009643BB"/>
    <w:rsid w:val="009655A6"/>
    <w:rsid w:val="009726E3"/>
    <w:rsid w:val="00974D7E"/>
    <w:rsid w:val="00977634"/>
    <w:rsid w:val="00983601"/>
    <w:rsid w:val="0099534F"/>
    <w:rsid w:val="00996692"/>
    <w:rsid w:val="00997787"/>
    <w:rsid w:val="009A1AE3"/>
    <w:rsid w:val="009A3515"/>
    <w:rsid w:val="009B200B"/>
    <w:rsid w:val="009B3114"/>
    <w:rsid w:val="009C16FA"/>
    <w:rsid w:val="009C406E"/>
    <w:rsid w:val="009C5E6A"/>
    <w:rsid w:val="009D2725"/>
    <w:rsid w:val="009E2E75"/>
    <w:rsid w:val="009E703A"/>
    <w:rsid w:val="009E7C88"/>
    <w:rsid w:val="009F696B"/>
    <w:rsid w:val="00A101A1"/>
    <w:rsid w:val="00A1335C"/>
    <w:rsid w:val="00A14F5F"/>
    <w:rsid w:val="00A17DAE"/>
    <w:rsid w:val="00A21CC2"/>
    <w:rsid w:val="00A22D21"/>
    <w:rsid w:val="00A22FC6"/>
    <w:rsid w:val="00A321DE"/>
    <w:rsid w:val="00A364BE"/>
    <w:rsid w:val="00A375B8"/>
    <w:rsid w:val="00A415BF"/>
    <w:rsid w:val="00A5263B"/>
    <w:rsid w:val="00A56B71"/>
    <w:rsid w:val="00A6134A"/>
    <w:rsid w:val="00A75CE0"/>
    <w:rsid w:val="00A769CD"/>
    <w:rsid w:val="00A770C2"/>
    <w:rsid w:val="00A77397"/>
    <w:rsid w:val="00A90D46"/>
    <w:rsid w:val="00A96396"/>
    <w:rsid w:val="00AA0179"/>
    <w:rsid w:val="00AA2EFE"/>
    <w:rsid w:val="00AA3236"/>
    <w:rsid w:val="00AA3CE3"/>
    <w:rsid w:val="00AB2129"/>
    <w:rsid w:val="00AD2EEF"/>
    <w:rsid w:val="00AD57BE"/>
    <w:rsid w:val="00AE26F6"/>
    <w:rsid w:val="00AE29C6"/>
    <w:rsid w:val="00AF1DAB"/>
    <w:rsid w:val="00AF6615"/>
    <w:rsid w:val="00B03682"/>
    <w:rsid w:val="00B10B31"/>
    <w:rsid w:val="00B10E87"/>
    <w:rsid w:val="00B10F31"/>
    <w:rsid w:val="00B1459A"/>
    <w:rsid w:val="00B153DC"/>
    <w:rsid w:val="00B24A1B"/>
    <w:rsid w:val="00B279FD"/>
    <w:rsid w:val="00B3010D"/>
    <w:rsid w:val="00B35796"/>
    <w:rsid w:val="00B37524"/>
    <w:rsid w:val="00B504D8"/>
    <w:rsid w:val="00B6195E"/>
    <w:rsid w:val="00B61BA6"/>
    <w:rsid w:val="00B61EF1"/>
    <w:rsid w:val="00B66D64"/>
    <w:rsid w:val="00B75415"/>
    <w:rsid w:val="00B82B79"/>
    <w:rsid w:val="00BA56E3"/>
    <w:rsid w:val="00BB4BA9"/>
    <w:rsid w:val="00BC1B19"/>
    <w:rsid w:val="00BE2E84"/>
    <w:rsid w:val="00BF6111"/>
    <w:rsid w:val="00C12C9D"/>
    <w:rsid w:val="00C144AB"/>
    <w:rsid w:val="00C15187"/>
    <w:rsid w:val="00C15250"/>
    <w:rsid w:val="00C21D74"/>
    <w:rsid w:val="00C21ED5"/>
    <w:rsid w:val="00C22B39"/>
    <w:rsid w:val="00C266DF"/>
    <w:rsid w:val="00C33145"/>
    <w:rsid w:val="00C41D3C"/>
    <w:rsid w:val="00C70EDA"/>
    <w:rsid w:val="00C71F22"/>
    <w:rsid w:val="00C8255E"/>
    <w:rsid w:val="00C85DF5"/>
    <w:rsid w:val="00C8651E"/>
    <w:rsid w:val="00C906F8"/>
    <w:rsid w:val="00CA0FD5"/>
    <w:rsid w:val="00CA113E"/>
    <w:rsid w:val="00CA3E44"/>
    <w:rsid w:val="00CA6C2C"/>
    <w:rsid w:val="00CB1F69"/>
    <w:rsid w:val="00CB35B1"/>
    <w:rsid w:val="00CB7B42"/>
    <w:rsid w:val="00CC40A1"/>
    <w:rsid w:val="00CC674B"/>
    <w:rsid w:val="00CD20F8"/>
    <w:rsid w:val="00CE225B"/>
    <w:rsid w:val="00CF3508"/>
    <w:rsid w:val="00CF3AC1"/>
    <w:rsid w:val="00D06AAC"/>
    <w:rsid w:val="00D11806"/>
    <w:rsid w:val="00D203EF"/>
    <w:rsid w:val="00D229CF"/>
    <w:rsid w:val="00D256C0"/>
    <w:rsid w:val="00D317DC"/>
    <w:rsid w:val="00D343E7"/>
    <w:rsid w:val="00D37CD1"/>
    <w:rsid w:val="00D54CF8"/>
    <w:rsid w:val="00D551D5"/>
    <w:rsid w:val="00D6204E"/>
    <w:rsid w:val="00D62D4C"/>
    <w:rsid w:val="00D73ABA"/>
    <w:rsid w:val="00D74B61"/>
    <w:rsid w:val="00D8537B"/>
    <w:rsid w:val="00DA2600"/>
    <w:rsid w:val="00DA77E5"/>
    <w:rsid w:val="00DB03D7"/>
    <w:rsid w:val="00DB24AF"/>
    <w:rsid w:val="00DC43D4"/>
    <w:rsid w:val="00DC7E60"/>
    <w:rsid w:val="00DD6C71"/>
    <w:rsid w:val="00DE3251"/>
    <w:rsid w:val="00DE6195"/>
    <w:rsid w:val="00DF10B1"/>
    <w:rsid w:val="00DF76CB"/>
    <w:rsid w:val="00E04AA5"/>
    <w:rsid w:val="00E2203A"/>
    <w:rsid w:val="00E26B18"/>
    <w:rsid w:val="00E26BEA"/>
    <w:rsid w:val="00E33602"/>
    <w:rsid w:val="00E40F90"/>
    <w:rsid w:val="00E43546"/>
    <w:rsid w:val="00E4471E"/>
    <w:rsid w:val="00E53852"/>
    <w:rsid w:val="00E53ED0"/>
    <w:rsid w:val="00E57F33"/>
    <w:rsid w:val="00E6365B"/>
    <w:rsid w:val="00E63CFE"/>
    <w:rsid w:val="00E66791"/>
    <w:rsid w:val="00E75920"/>
    <w:rsid w:val="00E80F09"/>
    <w:rsid w:val="00E85B20"/>
    <w:rsid w:val="00EA3407"/>
    <w:rsid w:val="00EA5F3C"/>
    <w:rsid w:val="00EB1166"/>
    <w:rsid w:val="00EB443A"/>
    <w:rsid w:val="00EB680D"/>
    <w:rsid w:val="00ED623E"/>
    <w:rsid w:val="00EE205B"/>
    <w:rsid w:val="00EE239F"/>
    <w:rsid w:val="00EE2ACD"/>
    <w:rsid w:val="00EE6A86"/>
    <w:rsid w:val="00EF08D5"/>
    <w:rsid w:val="00F05895"/>
    <w:rsid w:val="00F1497C"/>
    <w:rsid w:val="00F17EB1"/>
    <w:rsid w:val="00F22F4A"/>
    <w:rsid w:val="00F2783F"/>
    <w:rsid w:val="00F465D0"/>
    <w:rsid w:val="00F46A22"/>
    <w:rsid w:val="00F46B4C"/>
    <w:rsid w:val="00F51122"/>
    <w:rsid w:val="00F528F6"/>
    <w:rsid w:val="00F54A5C"/>
    <w:rsid w:val="00F63379"/>
    <w:rsid w:val="00F66220"/>
    <w:rsid w:val="00F716B2"/>
    <w:rsid w:val="00F76CB0"/>
    <w:rsid w:val="00F82AB8"/>
    <w:rsid w:val="00F84686"/>
    <w:rsid w:val="00F8682C"/>
    <w:rsid w:val="00F9323D"/>
    <w:rsid w:val="00F97FF3"/>
    <w:rsid w:val="00FA3D1C"/>
    <w:rsid w:val="00FB1F19"/>
    <w:rsid w:val="00FB21B7"/>
    <w:rsid w:val="00FB3B64"/>
    <w:rsid w:val="00FC4272"/>
    <w:rsid w:val="00FC7C39"/>
    <w:rsid w:val="00FD67F9"/>
    <w:rsid w:val="00FE02D5"/>
    <w:rsid w:val="00FE3FD8"/>
    <w:rsid w:val="00FF011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83601"/>
    <w:rPr>
      <w:rFonts w:ascii="Tahoma" w:hAnsi="Tahoma" w:cs="Tahoma"/>
      <w:sz w:val="18"/>
      <w:szCs w:val="24"/>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F63379"/>
    <w:pPr>
      <w:spacing w:line="240" w:lineRule="exact"/>
    </w:pPr>
    <w:rPr>
      <w:color w:val="FFFFFF"/>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ContactCard-Splitter">
    <w:name w:val="iR Contact Card - Splitter"/>
    <w:basedOn w:val="Normal"/>
    <w:rsid w:val="009E2E75"/>
    <w:rPr>
      <w:sz w:val="4"/>
      <w:szCs w:val="4"/>
    </w:rPr>
  </w:style>
  <w:style w:type="paragraph" w:customStyle="1" w:styleId="iRSectionTitle">
    <w:name w:val="iR Section Title"/>
    <w:basedOn w:val="Normal"/>
    <w:rsid w:val="00CF3508"/>
    <w:pPr>
      <w:shd w:val="clear" w:color="auto" w:fill="E7EBF2"/>
      <w:spacing w:line="440" w:lineRule="exact"/>
    </w:pPr>
    <w:rPr>
      <w:color w:val="012464"/>
      <w:sz w:val="36"/>
      <w:szCs w:val="36"/>
    </w:rPr>
  </w:style>
  <w:style w:type="paragraph" w:customStyle="1" w:styleId="iRSubSectionTitle">
    <w:name w:val="iR SubSection Title"/>
    <w:basedOn w:val="Normal"/>
    <w:next w:val="Normal"/>
    <w:rsid w:val="00D06AAC"/>
    <w:pPr>
      <w:shd w:val="clear" w:color="auto" w:fill="939598"/>
      <w:spacing w:line="240" w:lineRule="exact"/>
    </w:pPr>
    <w:rPr>
      <w:color w:val="FFFFFF"/>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3574FE"/>
    <w:pPr>
      <w:spacing w:line="240" w:lineRule="exact"/>
    </w:pPr>
    <w:rPr>
      <w:color w:val="012464"/>
      <w:sz w:val="16"/>
      <w:szCs w:val="16"/>
    </w:rPr>
  </w:style>
  <w:style w:type="paragraph" w:customStyle="1" w:styleId="iRContactSheet-ContactEmail">
    <w:name w:val="iR Contact Sheet - Contact Email"/>
    <w:basedOn w:val="Normal"/>
    <w:rsid w:val="003574FE"/>
    <w:pPr>
      <w:spacing w:line="240" w:lineRule="exact"/>
    </w:pPr>
    <w:rPr>
      <w:color w:val="6D6E71"/>
      <w:sz w:val="16"/>
      <w:szCs w:val="16"/>
    </w:rPr>
  </w:style>
  <w:style w:type="paragraph" w:customStyle="1" w:styleId="iRContactSheet-ContactPhone">
    <w:name w:val="iR Contact Sheet - Contact Phone"/>
    <w:basedOn w:val="Normal"/>
    <w:rsid w:val="003574FE"/>
    <w:pPr>
      <w:spacing w:line="240" w:lineRule="exact"/>
    </w:pPr>
    <w:rPr>
      <w:color w:val="6D6E71"/>
      <w:sz w:val="16"/>
      <w:szCs w:val="16"/>
    </w:r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styleId="NormalWeb">
    <w:name w:val="Normal (Web)"/>
    <w:basedOn w:val="Normal"/>
    <w:rsid w:val="00C15250"/>
    <w:rPr>
      <w:rFonts w:ascii="Times New Roman" w:hAnsi="Times New Roman" w:cs="Times New Roman"/>
      <w:sz w:val="24"/>
    </w:rPr>
  </w:style>
  <w:style w:type="paragraph" w:styleId="NormalIndent">
    <w:name w:val="Normal Indent"/>
    <w:basedOn w:val="Normal"/>
    <w:rsid w:val="00C15250"/>
    <w:pPr>
      <w:ind w:left="720"/>
    </w:p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manualLayout>
          <c:layoutTarget val="inner"/>
          <c:xMode val="edge"/>
          <c:yMode val="edge"/>
          <c:x val="7.9780046505593838E-2"/>
          <c:y val="2.2352598082102479E-2"/>
          <c:w val="0.92490118577073788"/>
          <c:h val="0.65427634045744287"/>
        </c:manualLayout>
      </c:layout>
      <c:lineChart>
        <c:grouping val="standard"/>
        <c:ser>
          <c:idx val="0"/>
          <c:order val="0"/>
          <c:tx>
            <c:strRef>
              <c:f>Sheet1!$B$1</c:f>
              <c:strCache>
                <c:ptCount val="1"/>
                <c:pt idx="0">
                  <c:v>MOIL</c:v>
                </c:pt>
              </c:strCache>
            </c:strRef>
          </c:tx>
          <c:spPr>
            <a:ln w="6350" cmpd="sng">
              <a:solidFill>
                <a:srgbClr val="003366"/>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Sheet1!$B$2:$B$281</c:f>
              <c:numCache>
                <c:formatCode>General</c:formatCode>
                <c:ptCount val="280"/>
                <c:pt idx="0">
                  <c:v>4.41</c:v>
                </c:pt>
                <c:pt idx="1">
                  <c:v>4.6499999999999995</c:v>
                </c:pt>
                <c:pt idx="2">
                  <c:v>4.6599999999999975</c:v>
                </c:pt>
                <c:pt idx="3">
                  <c:v>4.75</c:v>
                </c:pt>
                <c:pt idx="4">
                  <c:v>4.6599999999999975</c:v>
                </c:pt>
                <c:pt idx="5">
                  <c:v>4.6499999999999995</c:v>
                </c:pt>
                <c:pt idx="6">
                  <c:v>4.57</c:v>
                </c:pt>
                <c:pt idx="7">
                  <c:v>4.6199999999999966</c:v>
                </c:pt>
                <c:pt idx="8">
                  <c:v>4.4700000000000024</c:v>
                </c:pt>
                <c:pt idx="9">
                  <c:v>4.6599999999999975</c:v>
                </c:pt>
                <c:pt idx="10">
                  <c:v>4.63</c:v>
                </c:pt>
                <c:pt idx="11">
                  <c:v>4.6199999999999966</c:v>
                </c:pt>
                <c:pt idx="12">
                  <c:v>4.57</c:v>
                </c:pt>
                <c:pt idx="13">
                  <c:v>4.6099999999999985</c:v>
                </c:pt>
                <c:pt idx="14">
                  <c:v>4.67</c:v>
                </c:pt>
                <c:pt idx="15">
                  <c:v>4.6199999999999966</c:v>
                </c:pt>
                <c:pt idx="16">
                  <c:v>4.59</c:v>
                </c:pt>
                <c:pt idx="17">
                  <c:v>4.58</c:v>
                </c:pt>
                <c:pt idx="18">
                  <c:v>4.6499999999999995</c:v>
                </c:pt>
                <c:pt idx="19">
                  <c:v>4.6499999999999995</c:v>
                </c:pt>
                <c:pt idx="20">
                  <c:v>4.67</c:v>
                </c:pt>
                <c:pt idx="21">
                  <c:v>4.8899999999999997</c:v>
                </c:pt>
                <c:pt idx="22">
                  <c:v>5.1499999999999995</c:v>
                </c:pt>
                <c:pt idx="23">
                  <c:v>5.1199999999999966</c:v>
                </c:pt>
                <c:pt idx="24">
                  <c:v>5.21</c:v>
                </c:pt>
                <c:pt idx="25">
                  <c:v>5.18</c:v>
                </c:pt>
                <c:pt idx="26">
                  <c:v>5.0999999999999996</c:v>
                </c:pt>
                <c:pt idx="27">
                  <c:v>5.13</c:v>
                </c:pt>
                <c:pt idx="28">
                  <c:v>5.1099999999999985</c:v>
                </c:pt>
                <c:pt idx="29">
                  <c:v>5.1899999999999995</c:v>
                </c:pt>
                <c:pt idx="30">
                  <c:v>5.3199999999999985</c:v>
                </c:pt>
                <c:pt idx="31">
                  <c:v>5.46</c:v>
                </c:pt>
                <c:pt idx="32">
                  <c:v>5.85</c:v>
                </c:pt>
                <c:pt idx="33">
                  <c:v>5.78</c:v>
                </c:pt>
                <c:pt idx="34">
                  <c:v>5.78</c:v>
                </c:pt>
                <c:pt idx="35">
                  <c:v>5.7</c:v>
                </c:pt>
                <c:pt idx="36">
                  <c:v>5.7</c:v>
                </c:pt>
                <c:pt idx="37">
                  <c:v>5.6499999999999995</c:v>
                </c:pt>
                <c:pt idx="38">
                  <c:v>5.67</c:v>
                </c:pt>
                <c:pt idx="39">
                  <c:v>5.56</c:v>
                </c:pt>
                <c:pt idx="40">
                  <c:v>5.57</c:v>
                </c:pt>
                <c:pt idx="41">
                  <c:v>5.68</c:v>
                </c:pt>
                <c:pt idx="42">
                  <c:v>5.68</c:v>
                </c:pt>
                <c:pt idx="43">
                  <c:v>5.68</c:v>
                </c:pt>
                <c:pt idx="44">
                  <c:v>5.96</c:v>
                </c:pt>
                <c:pt idx="45">
                  <c:v>6</c:v>
                </c:pt>
                <c:pt idx="46">
                  <c:v>6.02</c:v>
                </c:pt>
                <c:pt idx="47">
                  <c:v>6.1099999999999985</c:v>
                </c:pt>
                <c:pt idx="48">
                  <c:v>6.22</c:v>
                </c:pt>
                <c:pt idx="49">
                  <c:v>6.3199999999999985</c:v>
                </c:pt>
                <c:pt idx="50">
                  <c:v>6.9300000000000024</c:v>
                </c:pt>
                <c:pt idx="51">
                  <c:v>6.95</c:v>
                </c:pt>
                <c:pt idx="52">
                  <c:v>6.68</c:v>
                </c:pt>
                <c:pt idx="53">
                  <c:v>6.98</c:v>
                </c:pt>
                <c:pt idx="54">
                  <c:v>6.9</c:v>
                </c:pt>
                <c:pt idx="55">
                  <c:v>6.76</c:v>
                </c:pt>
                <c:pt idx="56">
                  <c:v>6.7</c:v>
                </c:pt>
                <c:pt idx="57">
                  <c:v>6.76</c:v>
                </c:pt>
                <c:pt idx="58">
                  <c:v>6.88</c:v>
                </c:pt>
                <c:pt idx="59">
                  <c:v>6.67</c:v>
                </c:pt>
                <c:pt idx="60">
                  <c:v>6.37</c:v>
                </c:pt>
                <c:pt idx="61">
                  <c:v>6.35</c:v>
                </c:pt>
                <c:pt idx="62">
                  <c:v>6.09</c:v>
                </c:pt>
                <c:pt idx="63">
                  <c:v>5.57</c:v>
                </c:pt>
                <c:pt idx="64">
                  <c:v>5.31</c:v>
                </c:pt>
                <c:pt idx="65">
                  <c:v>5.44</c:v>
                </c:pt>
                <c:pt idx="66">
                  <c:v>5.73</c:v>
                </c:pt>
                <c:pt idx="67">
                  <c:v>5.5</c:v>
                </c:pt>
                <c:pt idx="68">
                  <c:v>5.25</c:v>
                </c:pt>
                <c:pt idx="69">
                  <c:v>4.9700000000000024</c:v>
                </c:pt>
                <c:pt idx="70">
                  <c:v>4.9300000000000024</c:v>
                </c:pt>
                <c:pt idx="71">
                  <c:v>5.13</c:v>
                </c:pt>
                <c:pt idx="72">
                  <c:v>5.03</c:v>
                </c:pt>
                <c:pt idx="73">
                  <c:v>4.95</c:v>
                </c:pt>
                <c:pt idx="74">
                  <c:v>4.88</c:v>
                </c:pt>
                <c:pt idx="75">
                  <c:v>4.8499999999999996</c:v>
                </c:pt>
                <c:pt idx="76">
                  <c:v>4.9000000000000004</c:v>
                </c:pt>
                <c:pt idx="77">
                  <c:v>4.8899999999999997</c:v>
                </c:pt>
                <c:pt idx="78">
                  <c:v>4.8899999999999997</c:v>
                </c:pt>
                <c:pt idx="79">
                  <c:v>4.9000000000000004</c:v>
                </c:pt>
                <c:pt idx="80">
                  <c:v>4.95</c:v>
                </c:pt>
                <c:pt idx="81">
                  <c:v>4.9300000000000024</c:v>
                </c:pt>
                <c:pt idx="82">
                  <c:v>5.1199999999999966</c:v>
                </c:pt>
                <c:pt idx="83">
                  <c:v>5.09</c:v>
                </c:pt>
                <c:pt idx="84">
                  <c:v>4.8899999999999997</c:v>
                </c:pt>
                <c:pt idx="85">
                  <c:v>4.92</c:v>
                </c:pt>
                <c:pt idx="86">
                  <c:v>4.8099999999999996</c:v>
                </c:pt>
                <c:pt idx="87">
                  <c:v>4.78</c:v>
                </c:pt>
                <c:pt idx="88">
                  <c:v>4.72</c:v>
                </c:pt>
                <c:pt idx="89">
                  <c:v>4.54</c:v>
                </c:pt>
                <c:pt idx="90">
                  <c:v>4.38</c:v>
                </c:pt>
                <c:pt idx="91">
                  <c:v>4.42</c:v>
                </c:pt>
                <c:pt idx="92">
                  <c:v>4.4400000000000004</c:v>
                </c:pt>
                <c:pt idx="93">
                  <c:v>4.3199999999999985</c:v>
                </c:pt>
                <c:pt idx="94">
                  <c:v>4.03</c:v>
                </c:pt>
                <c:pt idx="95">
                  <c:v>4.1199999999999966</c:v>
                </c:pt>
                <c:pt idx="96">
                  <c:v>3.94</c:v>
                </c:pt>
                <c:pt idx="97">
                  <c:v>4.04</c:v>
                </c:pt>
                <c:pt idx="98">
                  <c:v>4.22</c:v>
                </c:pt>
                <c:pt idx="99">
                  <c:v>4.13</c:v>
                </c:pt>
                <c:pt idx="100">
                  <c:v>4.01</c:v>
                </c:pt>
                <c:pt idx="101">
                  <c:v>4</c:v>
                </c:pt>
                <c:pt idx="102">
                  <c:v>3.96</c:v>
                </c:pt>
                <c:pt idx="103">
                  <c:v>3.96</c:v>
                </c:pt>
                <c:pt idx="104">
                  <c:v>3.7</c:v>
                </c:pt>
                <c:pt idx="105">
                  <c:v>3.3499999999999988</c:v>
                </c:pt>
                <c:pt idx="106">
                  <c:v>3.63</c:v>
                </c:pt>
                <c:pt idx="107">
                  <c:v>3.38</c:v>
                </c:pt>
                <c:pt idx="108">
                  <c:v>3.54</c:v>
                </c:pt>
                <c:pt idx="109">
                  <c:v>3.7</c:v>
                </c:pt>
                <c:pt idx="110">
                  <c:v>3.64</c:v>
                </c:pt>
                <c:pt idx="111">
                  <c:v>3.5</c:v>
                </c:pt>
                <c:pt idx="112">
                  <c:v>3.52</c:v>
                </c:pt>
                <c:pt idx="113">
                  <c:v>3.4899999999999998</c:v>
                </c:pt>
                <c:pt idx="114">
                  <c:v>3.3</c:v>
                </c:pt>
                <c:pt idx="115">
                  <c:v>2.94</c:v>
                </c:pt>
                <c:pt idx="116">
                  <c:v>2.94</c:v>
                </c:pt>
                <c:pt idx="117">
                  <c:v>2.86</c:v>
                </c:pt>
                <c:pt idx="118">
                  <c:v>2.56</c:v>
                </c:pt>
                <c:pt idx="119">
                  <c:v>2.6</c:v>
                </c:pt>
                <c:pt idx="120">
                  <c:v>2.5</c:v>
                </c:pt>
                <c:pt idx="121">
                  <c:v>2.36</c:v>
                </c:pt>
                <c:pt idx="122">
                  <c:v>2.5</c:v>
                </c:pt>
                <c:pt idx="123">
                  <c:v>2.61</c:v>
                </c:pt>
                <c:pt idx="124">
                  <c:v>2.74</c:v>
                </c:pt>
                <c:pt idx="125">
                  <c:v>2.61</c:v>
                </c:pt>
                <c:pt idx="126">
                  <c:v>2.56</c:v>
                </c:pt>
                <c:pt idx="127">
                  <c:v>2.48</c:v>
                </c:pt>
                <c:pt idx="128">
                  <c:v>2.59</c:v>
                </c:pt>
                <c:pt idx="129">
                  <c:v>2.7600000000000002</c:v>
                </c:pt>
                <c:pt idx="130">
                  <c:v>2.68</c:v>
                </c:pt>
                <c:pt idx="131">
                  <c:v>2.68</c:v>
                </c:pt>
                <c:pt idx="132">
                  <c:v>2.59</c:v>
                </c:pt>
                <c:pt idx="133">
                  <c:v>2.4499999999999997</c:v>
                </c:pt>
                <c:pt idx="134">
                  <c:v>2.0299999999999998</c:v>
                </c:pt>
                <c:pt idx="135">
                  <c:v>2.0099999999999998</c:v>
                </c:pt>
                <c:pt idx="136">
                  <c:v>1.9500000000000062</c:v>
                </c:pt>
                <c:pt idx="137">
                  <c:v>1.9500000000000062</c:v>
                </c:pt>
                <c:pt idx="138">
                  <c:v>1.7300000000000002</c:v>
                </c:pt>
                <c:pt idx="139">
                  <c:v>1.9200000000000021</c:v>
                </c:pt>
                <c:pt idx="140">
                  <c:v>2</c:v>
                </c:pt>
                <c:pt idx="141">
                  <c:v>2.02</c:v>
                </c:pt>
                <c:pt idx="142">
                  <c:v>2.23</c:v>
                </c:pt>
                <c:pt idx="143">
                  <c:v>2.4299999999999997</c:v>
                </c:pt>
                <c:pt idx="144">
                  <c:v>2.3299999999999987</c:v>
                </c:pt>
                <c:pt idx="145">
                  <c:v>2.44</c:v>
                </c:pt>
                <c:pt idx="146">
                  <c:v>2.3699999999999997</c:v>
                </c:pt>
                <c:pt idx="147">
                  <c:v>2.4</c:v>
                </c:pt>
                <c:pt idx="148">
                  <c:v>2.5499999999999998</c:v>
                </c:pt>
                <c:pt idx="149">
                  <c:v>2.5299999999999998</c:v>
                </c:pt>
                <c:pt idx="150">
                  <c:v>2.6</c:v>
                </c:pt>
                <c:pt idx="151">
                  <c:v>2.57</c:v>
                </c:pt>
                <c:pt idx="152">
                  <c:v>2.68</c:v>
                </c:pt>
                <c:pt idx="153">
                  <c:v>2.61</c:v>
                </c:pt>
                <c:pt idx="154">
                  <c:v>2.56</c:v>
                </c:pt>
                <c:pt idx="155">
                  <c:v>2.59</c:v>
                </c:pt>
                <c:pt idx="156">
                  <c:v>2.57</c:v>
                </c:pt>
                <c:pt idx="157">
                  <c:v>2.65</c:v>
                </c:pt>
                <c:pt idx="158">
                  <c:v>2.61</c:v>
                </c:pt>
                <c:pt idx="159">
                  <c:v>2.61</c:v>
                </c:pt>
                <c:pt idx="160">
                  <c:v>2.71</c:v>
                </c:pt>
                <c:pt idx="161">
                  <c:v>2.75</c:v>
                </c:pt>
                <c:pt idx="162">
                  <c:v>2.77</c:v>
                </c:pt>
                <c:pt idx="163">
                  <c:v>2.86</c:v>
                </c:pt>
                <c:pt idx="164">
                  <c:v>2.96</c:v>
                </c:pt>
                <c:pt idx="165">
                  <c:v>2.8499999999999988</c:v>
                </c:pt>
                <c:pt idx="166">
                  <c:v>2.82</c:v>
                </c:pt>
                <c:pt idx="167">
                  <c:v>2.75</c:v>
                </c:pt>
                <c:pt idx="168">
                  <c:v>2.68</c:v>
                </c:pt>
                <c:pt idx="169">
                  <c:v>2.63</c:v>
                </c:pt>
                <c:pt idx="170">
                  <c:v>2.5299999999999998</c:v>
                </c:pt>
                <c:pt idx="171">
                  <c:v>2.5299999999999998</c:v>
                </c:pt>
                <c:pt idx="172">
                  <c:v>2.5099999999999998</c:v>
                </c:pt>
                <c:pt idx="173">
                  <c:v>2.3899999999999997</c:v>
                </c:pt>
                <c:pt idx="174">
                  <c:v>2.29</c:v>
                </c:pt>
                <c:pt idx="175">
                  <c:v>2.29</c:v>
                </c:pt>
                <c:pt idx="176">
                  <c:v>2.17</c:v>
                </c:pt>
                <c:pt idx="177">
                  <c:v>2.15</c:v>
                </c:pt>
                <c:pt idx="178">
                  <c:v>2.3699999999999997</c:v>
                </c:pt>
                <c:pt idx="179">
                  <c:v>2.36</c:v>
                </c:pt>
                <c:pt idx="180">
                  <c:v>2.3499999999999988</c:v>
                </c:pt>
                <c:pt idx="181">
                  <c:v>2.23</c:v>
                </c:pt>
                <c:pt idx="182">
                  <c:v>2.17</c:v>
                </c:pt>
                <c:pt idx="183">
                  <c:v>2.25</c:v>
                </c:pt>
                <c:pt idx="184">
                  <c:v>2.2799999999999998</c:v>
                </c:pt>
                <c:pt idx="185">
                  <c:v>2.2000000000000002</c:v>
                </c:pt>
                <c:pt idx="186">
                  <c:v>2.21</c:v>
                </c:pt>
                <c:pt idx="187">
                  <c:v>2.1800000000000002</c:v>
                </c:pt>
                <c:pt idx="188">
                  <c:v>2.29</c:v>
                </c:pt>
                <c:pt idx="189">
                  <c:v>2.25</c:v>
                </c:pt>
                <c:pt idx="190">
                  <c:v>2.2599999999999998</c:v>
                </c:pt>
                <c:pt idx="191">
                  <c:v>2.3299999999999987</c:v>
                </c:pt>
                <c:pt idx="192">
                  <c:v>2.3499999999999988</c:v>
                </c:pt>
                <c:pt idx="193">
                  <c:v>2.2999999999999998</c:v>
                </c:pt>
                <c:pt idx="194">
                  <c:v>2.2999999999999998</c:v>
                </c:pt>
                <c:pt idx="195">
                  <c:v>2.3699999999999997</c:v>
                </c:pt>
                <c:pt idx="196">
                  <c:v>2.4</c:v>
                </c:pt>
                <c:pt idx="197">
                  <c:v>2.5</c:v>
                </c:pt>
                <c:pt idx="198">
                  <c:v>2.3899999999999997</c:v>
                </c:pt>
                <c:pt idx="199">
                  <c:v>2.4899999999999998</c:v>
                </c:pt>
                <c:pt idx="200">
                  <c:v>2.5299999999999998</c:v>
                </c:pt>
                <c:pt idx="201">
                  <c:v>2.57</c:v>
                </c:pt>
                <c:pt idx="202">
                  <c:v>2.52</c:v>
                </c:pt>
                <c:pt idx="203">
                  <c:v>2.4899999999999998</c:v>
                </c:pt>
                <c:pt idx="204">
                  <c:v>2.54</c:v>
                </c:pt>
                <c:pt idx="205">
                  <c:v>2.6</c:v>
                </c:pt>
                <c:pt idx="206">
                  <c:v>2.72</c:v>
                </c:pt>
                <c:pt idx="207">
                  <c:v>2.75</c:v>
                </c:pt>
                <c:pt idx="208">
                  <c:v>2.69</c:v>
                </c:pt>
                <c:pt idx="209">
                  <c:v>2.6</c:v>
                </c:pt>
                <c:pt idx="210">
                  <c:v>2.62</c:v>
                </c:pt>
                <c:pt idx="211">
                  <c:v>2.5299999999999998</c:v>
                </c:pt>
                <c:pt idx="212">
                  <c:v>2.59</c:v>
                </c:pt>
                <c:pt idx="213">
                  <c:v>2.6</c:v>
                </c:pt>
                <c:pt idx="214">
                  <c:v>2.65</c:v>
                </c:pt>
                <c:pt idx="215">
                  <c:v>2.71</c:v>
                </c:pt>
                <c:pt idx="216">
                  <c:v>2.68</c:v>
                </c:pt>
                <c:pt idx="217">
                  <c:v>2.65</c:v>
                </c:pt>
                <c:pt idx="218">
                  <c:v>2.67</c:v>
                </c:pt>
                <c:pt idx="219">
                  <c:v>2.71</c:v>
                </c:pt>
                <c:pt idx="220">
                  <c:v>2.84</c:v>
                </c:pt>
                <c:pt idx="221">
                  <c:v>2.7800000000000002</c:v>
                </c:pt>
                <c:pt idx="222">
                  <c:v>2.79</c:v>
                </c:pt>
                <c:pt idx="223">
                  <c:v>2.8</c:v>
                </c:pt>
                <c:pt idx="224">
                  <c:v>2.9099999999999997</c:v>
                </c:pt>
                <c:pt idx="225">
                  <c:v>3.02</c:v>
                </c:pt>
                <c:pt idx="226">
                  <c:v>2.9699999999999998</c:v>
                </c:pt>
                <c:pt idx="227">
                  <c:v>2.8</c:v>
                </c:pt>
                <c:pt idx="228">
                  <c:v>2.75</c:v>
                </c:pt>
                <c:pt idx="229">
                  <c:v>2.9099999999999997</c:v>
                </c:pt>
                <c:pt idx="230">
                  <c:v>3.19</c:v>
                </c:pt>
                <c:pt idx="231">
                  <c:v>3.19</c:v>
                </c:pt>
                <c:pt idx="232">
                  <c:v>3.18</c:v>
                </c:pt>
                <c:pt idx="233">
                  <c:v>3.07</c:v>
                </c:pt>
                <c:pt idx="234">
                  <c:v>3.19</c:v>
                </c:pt>
                <c:pt idx="235">
                  <c:v>3.01</c:v>
                </c:pt>
                <c:pt idx="236">
                  <c:v>3</c:v>
                </c:pt>
                <c:pt idx="237">
                  <c:v>2.94</c:v>
                </c:pt>
                <c:pt idx="238">
                  <c:v>3.03</c:v>
                </c:pt>
                <c:pt idx="239">
                  <c:v>2.98</c:v>
                </c:pt>
                <c:pt idx="240">
                  <c:v>2.9699999999999998</c:v>
                </c:pt>
                <c:pt idx="241">
                  <c:v>3.02</c:v>
                </c:pt>
                <c:pt idx="242">
                  <c:v>3.05</c:v>
                </c:pt>
                <c:pt idx="243">
                  <c:v>3.01</c:v>
                </c:pt>
                <c:pt idx="244">
                  <c:v>3.04</c:v>
                </c:pt>
                <c:pt idx="245">
                  <c:v>3.18</c:v>
                </c:pt>
                <c:pt idx="246">
                  <c:v>3.19</c:v>
                </c:pt>
                <c:pt idx="247">
                  <c:v>3.3499999999999988</c:v>
                </c:pt>
                <c:pt idx="248">
                  <c:v>3.51</c:v>
                </c:pt>
                <c:pt idx="249">
                  <c:v>3.54</c:v>
                </c:pt>
                <c:pt idx="250">
                  <c:v>3.57</c:v>
                </c:pt>
                <c:pt idx="251">
                  <c:v>3.46</c:v>
                </c:pt>
                <c:pt idx="252">
                  <c:v>3.2800000000000002</c:v>
                </c:pt>
                <c:pt idx="253">
                  <c:v>3.46</c:v>
                </c:pt>
                <c:pt idx="254">
                  <c:v>3.3499999999999988</c:v>
                </c:pt>
                <c:pt idx="255">
                  <c:v>3.21</c:v>
                </c:pt>
                <c:pt idx="256">
                  <c:v>3.32</c:v>
                </c:pt>
                <c:pt idx="257">
                  <c:v>3.5</c:v>
                </c:pt>
                <c:pt idx="258">
                  <c:v>3.67</c:v>
                </c:pt>
                <c:pt idx="259">
                  <c:v>3.64</c:v>
                </c:pt>
                <c:pt idx="260">
                  <c:v>3.53</c:v>
                </c:pt>
                <c:pt idx="261">
                  <c:v>3.68</c:v>
                </c:pt>
                <c:pt idx="262">
                  <c:v>3.7600000000000002</c:v>
                </c:pt>
                <c:pt idx="263">
                  <c:v>3.75</c:v>
                </c:pt>
                <c:pt idx="264">
                  <c:v>3.72</c:v>
                </c:pt>
                <c:pt idx="265">
                  <c:v>3.7800000000000002</c:v>
                </c:pt>
                <c:pt idx="266">
                  <c:v>3.69</c:v>
                </c:pt>
                <c:pt idx="267">
                  <c:v>3.64</c:v>
                </c:pt>
                <c:pt idx="268">
                  <c:v>3.66</c:v>
                </c:pt>
                <c:pt idx="269">
                  <c:v>3.7600000000000002</c:v>
                </c:pt>
                <c:pt idx="270">
                  <c:v>3.72</c:v>
                </c:pt>
                <c:pt idx="271">
                  <c:v>3.9499999999999997</c:v>
                </c:pt>
                <c:pt idx="272">
                  <c:v>4.1099999999999985</c:v>
                </c:pt>
                <c:pt idx="273">
                  <c:v>4.1099999999999985</c:v>
                </c:pt>
                <c:pt idx="274">
                  <c:v>4.07</c:v>
                </c:pt>
                <c:pt idx="275">
                  <c:v>4.05</c:v>
                </c:pt>
                <c:pt idx="276">
                  <c:v>4.04</c:v>
                </c:pt>
                <c:pt idx="277">
                  <c:v>3.9499999999999997</c:v>
                </c:pt>
                <c:pt idx="278">
                  <c:v>3.8299999999999987</c:v>
                </c:pt>
                <c:pt idx="279">
                  <c:v>3.8</c:v>
                </c:pt>
              </c:numCache>
            </c:numRef>
          </c:val>
        </c:ser>
        <c:ser>
          <c:idx val="1"/>
          <c:order val="1"/>
          <c:tx>
            <c:strRef>
              <c:f>Sheet1!$C$1</c:f>
              <c:strCache>
                <c:ptCount val="1"/>
                <c:pt idx="0">
                  <c:v>HCMI</c:v>
                </c:pt>
              </c:strCache>
            </c:strRef>
          </c:tx>
          <c:spPr>
            <a:ln w="6350">
              <a:solidFill>
                <a:srgbClr val="C0C0C0"/>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Sheet1!$C$2:$C$281</c:f>
              <c:numCache>
                <c:formatCode>General</c:formatCode>
                <c:ptCount val="280"/>
                <c:pt idx="0">
                  <c:v>4.41</c:v>
                </c:pt>
                <c:pt idx="1">
                  <c:v>4.37</c:v>
                </c:pt>
                <c:pt idx="2">
                  <c:v>4.33</c:v>
                </c:pt>
                <c:pt idx="3">
                  <c:v>4.28</c:v>
                </c:pt>
                <c:pt idx="4">
                  <c:v>4.1899999999999995</c:v>
                </c:pt>
                <c:pt idx="5">
                  <c:v>4.09</c:v>
                </c:pt>
                <c:pt idx="6">
                  <c:v>4.01</c:v>
                </c:pt>
                <c:pt idx="7">
                  <c:v>3.98</c:v>
                </c:pt>
                <c:pt idx="8">
                  <c:v>3.8099999999999987</c:v>
                </c:pt>
                <c:pt idx="9">
                  <c:v>3.94</c:v>
                </c:pt>
                <c:pt idx="10">
                  <c:v>3.92</c:v>
                </c:pt>
                <c:pt idx="11">
                  <c:v>3.9699999999999998</c:v>
                </c:pt>
                <c:pt idx="12">
                  <c:v>3.94</c:v>
                </c:pt>
                <c:pt idx="13">
                  <c:v>3.9499999999999997</c:v>
                </c:pt>
                <c:pt idx="14">
                  <c:v>3.9899999999999998</c:v>
                </c:pt>
                <c:pt idx="15">
                  <c:v>3.9899999999999998</c:v>
                </c:pt>
                <c:pt idx="16">
                  <c:v>4.04</c:v>
                </c:pt>
                <c:pt idx="17">
                  <c:v>4.05</c:v>
                </c:pt>
                <c:pt idx="18">
                  <c:v>4.08</c:v>
                </c:pt>
                <c:pt idx="19">
                  <c:v>4.07</c:v>
                </c:pt>
                <c:pt idx="20">
                  <c:v>4.04</c:v>
                </c:pt>
                <c:pt idx="21">
                  <c:v>4.01</c:v>
                </c:pt>
                <c:pt idx="22">
                  <c:v>4.07</c:v>
                </c:pt>
                <c:pt idx="23">
                  <c:v>4.04</c:v>
                </c:pt>
                <c:pt idx="24">
                  <c:v>3.98</c:v>
                </c:pt>
                <c:pt idx="25">
                  <c:v>3.9499999999999997</c:v>
                </c:pt>
                <c:pt idx="26">
                  <c:v>3.9</c:v>
                </c:pt>
                <c:pt idx="27">
                  <c:v>3.9</c:v>
                </c:pt>
                <c:pt idx="28">
                  <c:v>3.92</c:v>
                </c:pt>
                <c:pt idx="29">
                  <c:v>3.9499999999999997</c:v>
                </c:pt>
                <c:pt idx="30">
                  <c:v>3.9499999999999997</c:v>
                </c:pt>
                <c:pt idx="31">
                  <c:v>3.9</c:v>
                </c:pt>
                <c:pt idx="32">
                  <c:v>3.88</c:v>
                </c:pt>
                <c:pt idx="33">
                  <c:v>3.82</c:v>
                </c:pt>
                <c:pt idx="34">
                  <c:v>3.82</c:v>
                </c:pt>
                <c:pt idx="35">
                  <c:v>3.8099999999999987</c:v>
                </c:pt>
                <c:pt idx="36">
                  <c:v>3.82</c:v>
                </c:pt>
                <c:pt idx="37">
                  <c:v>3.7600000000000002</c:v>
                </c:pt>
                <c:pt idx="38">
                  <c:v>3.73</c:v>
                </c:pt>
                <c:pt idx="39">
                  <c:v>3.66</c:v>
                </c:pt>
                <c:pt idx="40">
                  <c:v>3.65</c:v>
                </c:pt>
                <c:pt idx="41">
                  <c:v>3.73</c:v>
                </c:pt>
                <c:pt idx="42">
                  <c:v>3.69</c:v>
                </c:pt>
                <c:pt idx="43">
                  <c:v>3.56</c:v>
                </c:pt>
                <c:pt idx="44">
                  <c:v>3.51</c:v>
                </c:pt>
                <c:pt idx="45">
                  <c:v>3.4899999999999998</c:v>
                </c:pt>
                <c:pt idx="46">
                  <c:v>3.53</c:v>
                </c:pt>
                <c:pt idx="47">
                  <c:v>3.55</c:v>
                </c:pt>
                <c:pt idx="48">
                  <c:v>3.54</c:v>
                </c:pt>
                <c:pt idx="49">
                  <c:v>3.57</c:v>
                </c:pt>
                <c:pt idx="50">
                  <c:v>3.59</c:v>
                </c:pt>
                <c:pt idx="51">
                  <c:v>3.4699999999999998</c:v>
                </c:pt>
                <c:pt idx="52">
                  <c:v>3.42</c:v>
                </c:pt>
                <c:pt idx="53">
                  <c:v>3.4699999999999998</c:v>
                </c:pt>
                <c:pt idx="54">
                  <c:v>3.42</c:v>
                </c:pt>
                <c:pt idx="55">
                  <c:v>3.3899999999999997</c:v>
                </c:pt>
                <c:pt idx="56">
                  <c:v>3.4299999999999997</c:v>
                </c:pt>
                <c:pt idx="57">
                  <c:v>3.4699999999999998</c:v>
                </c:pt>
                <c:pt idx="58">
                  <c:v>3.4899999999999998</c:v>
                </c:pt>
                <c:pt idx="59">
                  <c:v>3.38</c:v>
                </c:pt>
                <c:pt idx="60">
                  <c:v>3.3499999999999988</c:v>
                </c:pt>
                <c:pt idx="61">
                  <c:v>3.3899999999999997</c:v>
                </c:pt>
                <c:pt idx="62">
                  <c:v>3.3499999999999988</c:v>
                </c:pt>
                <c:pt idx="63">
                  <c:v>3.2800000000000002</c:v>
                </c:pt>
                <c:pt idx="64">
                  <c:v>3.2600000000000002</c:v>
                </c:pt>
                <c:pt idx="65">
                  <c:v>3.2800000000000002</c:v>
                </c:pt>
                <c:pt idx="66">
                  <c:v>3.29</c:v>
                </c:pt>
                <c:pt idx="67">
                  <c:v>3.2</c:v>
                </c:pt>
                <c:pt idx="68">
                  <c:v>3.14</c:v>
                </c:pt>
                <c:pt idx="69">
                  <c:v>3.05</c:v>
                </c:pt>
                <c:pt idx="70">
                  <c:v>2.92</c:v>
                </c:pt>
                <c:pt idx="71">
                  <c:v>3.05</c:v>
                </c:pt>
                <c:pt idx="72">
                  <c:v>3.09</c:v>
                </c:pt>
                <c:pt idx="73">
                  <c:v>3.05</c:v>
                </c:pt>
                <c:pt idx="74">
                  <c:v>2.96</c:v>
                </c:pt>
                <c:pt idx="75">
                  <c:v>2.9</c:v>
                </c:pt>
                <c:pt idx="76">
                  <c:v>2.96</c:v>
                </c:pt>
                <c:pt idx="77">
                  <c:v>3.02</c:v>
                </c:pt>
                <c:pt idx="78">
                  <c:v>3.03</c:v>
                </c:pt>
                <c:pt idx="79">
                  <c:v>2.9899999999999998</c:v>
                </c:pt>
                <c:pt idx="80">
                  <c:v>3.04</c:v>
                </c:pt>
                <c:pt idx="81">
                  <c:v>3.09</c:v>
                </c:pt>
                <c:pt idx="82">
                  <c:v>3.12</c:v>
                </c:pt>
                <c:pt idx="83">
                  <c:v>3.11</c:v>
                </c:pt>
                <c:pt idx="84">
                  <c:v>3.04</c:v>
                </c:pt>
                <c:pt idx="85">
                  <c:v>3.08</c:v>
                </c:pt>
                <c:pt idx="86">
                  <c:v>3.08</c:v>
                </c:pt>
                <c:pt idx="87">
                  <c:v>3.05</c:v>
                </c:pt>
                <c:pt idx="88">
                  <c:v>3.09</c:v>
                </c:pt>
                <c:pt idx="89">
                  <c:v>3.08</c:v>
                </c:pt>
                <c:pt idx="90">
                  <c:v>3.04</c:v>
                </c:pt>
                <c:pt idx="91">
                  <c:v>3.02</c:v>
                </c:pt>
                <c:pt idx="92">
                  <c:v>2.96</c:v>
                </c:pt>
                <c:pt idx="93">
                  <c:v>2.8</c:v>
                </c:pt>
                <c:pt idx="94">
                  <c:v>2.68</c:v>
                </c:pt>
                <c:pt idx="95">
                  <c:v>2.7600000000000002</c:v>
                </c:pt>
                <c:pt idx="96">
                  <c:v>2.61</c:v>
                </c:pt>
                <c:pt idx="97">
                  <c:v>2.75</c:v>
                </c:pt>
                <c:pt idx="98">
                  <c:v>2.71</c:v>
                </c:pt>
                <c:pt idx="99">
                  <c:v>2.63</c:v>
                </c:pt>
                <c:pt idx="100">
                  <c:v>2.57</c:v>
                </c:pt>
                <c:pt idx="101">
                  <c:v>2.5499999999999998</c:v>
                </c:pt>
                <c:pt idx="102">
                  <c:v>2.57</c:v>
                </c:pt>
                <c:pt idx="103">
                  <c:v>2.59</c:v>
                </c:pt>
                <c:pt idx="104">
                  <c:v>2.16</c:v>
                </c:pt>
                <c:pt idx="105">
                  <c:v>2</c:v>
                </c:pt>
                <c:pt idx="106">
                  <c:v>2.09</c:v>
                </c:pt>
                <c:pt idx="107">
                  <c:v>2.02</c:v>
                </c:pt>
                <c:pt idx="108">
                  <c:v>2.09</c:v>
                </c:pt>
                <c:pt idx="109">
                  <c:v>2.21</c:v>
                </c:pt>
                <c:pt idx="110">
                  <c:v>2.16</c:v>
                </c:pt>
                <c:pt idx="111">
                  <c:v>2.1</c:v>
                </c:pt>
                <c:pt idx="112">
                  <c:v>2.09</c:v>
                </c:pt>
                <c:pt idx="113">
                  <c:v>2.08</c:v>
                </c:pt>
                <c:pt idx="114">
                  <c:v>2.04</c:v>
                </c:pt>
                <c:pt idx="115">
                  <c:v>1.86</c:v>
                </c:pt>
                <c:pt idx="116">
                  <c:v>1.7900000000000003</c:v>
                </c:pt>
                <c:pt idx="117">
                  <c:v>1.6600000000000001</c:v>
                </c:pt>
                <c:pt idx="118">
                  <c:v>1.6900000000000064</c:v>
                </c:pt>
                <c:pt idx="119">
                  <c:v>1.7800000000000002</c:v>
                </c:pt>
                <c:pt idx="120">
                  <c:v>1.7900000000000003</c:v>
                </c:pt>
                <c:pt idx="121">
                  <c:v>1.7400000000000002</c:v>
                </c:pt>
                <c:pt idx="122">
                  <c:v>1.84</c:v>
                </c:pt>
                <c:pt idx="123">
                  <c:v>1.9000000000000001</c:v>
                </c:pt>
                <c:pt idx="124">
                  <c:v>1.9500000000000062</c:v>
                </c:pt>
                <c:pt idx="125">
                  <c:v>1.9700000000000062</c:v>
                </c:pt>
                <c:pt idx="126">
                  <c:v>1.9400000000000062</c:v>
                </c:pt>
                <c:pt idx="127">
                  <c:v>1.9400000000000062</c:v>
                </c:pt>
                <c:pt idx="128">
                  <c:v>1.9900000000000069</c:v>
                </c:pt>
                <c:pt idx="129">
                  <c:v>1.9800000000000069</c:v>
                </c:pt>
                <c:pt idx="130">
                  <c:v>1.8900000000000001</c:v>
                </c:pt>
                <c:pt idx="131">
                  <c:v>1.83</c:v>
                </c:pt>
                <c:pt idx="132">
                  <c:v>1.82</c:v>
                </c:pt>
                <c:pt idx="133">
                  <c:v>1.7400000000000002</c:v>
                </c:pt>
                <c:pt idx="134">
                  <c:v>1.6</c:v>
                </c:pt>
                <c:pt idx="135">
                  <c:v>1.56</c:v>
                </c:pt>
                <c:pt idx="136">
                  <c:v>1.49</c:v>
                </c:pt>
                <c:pt idx="137">
                  <c:v>1.5</c:v>
                </c:pt>
                <c:pt idx="138">
                  <c:v>1.42</c:v>
                </c:pt>
                <c:pt idx="139">
                  <c:v>1.49</c:v>
                </c:pt>
                <c:pt idx="140">
                  <c:v>1.53</c:v>
                </c:pt>
                <c:pt idx="141">
                  <c:v>1.55</c:v>
                </c:pt>
                <c:pt idx="142">
                  <c:v>1.61</c:v>
                </c:pt>
                <c:pt idx="143">
                  <c:v>1.55</c:v>
                </c:pt>
                <c:pt idx="144">
                  <c:v>1.52</c:v>
                </c:pt>
                <c:pt idx="145">
                  <c:v>1.54</c:v>
                </c:pt>
                <c:pt idx="146">
                  <c:v>1.57</c:v>
                </c:pt>
                <c:pt idx="147">
                  <c:v>1.6300000000000001</c:v>
                </c:pt>
                <c:pt idx="148">
                  <c:v>1.6600000000000001</c:v>
                </c:pt>
                <c:pt idx="149">
                  <c:v>1.6400000000000001</c:v>
                </c:pt>
                <c:pt idx="150">
                  <c:v>1.6500000000000001</c:v>
                </c:pt>
                <c:pt idx="151">
                  <c:v>1.6700000000000021</c:v>
                </c:pt>
                <c:pt idx="152">
                  <c:v>1.6900000000000064</c:v>
                </c:pt>
                <c:pt idx="153">
                  <c:v>1.6900000000000064</c:v>
                </c:pt>
                <c:pt idx="154">
                  <c:v>1.6400000000000001</c:v>
                </c:pt>
                <c:pt idx="155">
                  <c:v>1.6600000000000001</c:v>
                </c:pt>
                <c:pt idx="156">
                  <c:v>1.6400000000000001</c:v>
                </c:pt>
                <c:pt idx="157">
                  <c:v>1.6500000000000001</c:v>
                </c:pt>
                <c:pt idx="158">
                  <c:v>1.6600000000000001</c:v>
                </c:pt>
                <c:pt idx="159">
                  <c:v>1.6600000000000001</c:v>
                </c:pt>
                <c:pt idx="160">
                  <c:v>1.7100000000000002</c:v>
                </c:pt>
                <c:pt idx="161">
                  <c:v>1.7500000000000002</c:v>
                </c:pt>
                <c:pt idx="162">
                  <c:v>1.7800000000000002</c:v>
                </c:pt>
                <c:pt idx="163">
                  <c:v>1.7900000000000003</c:v>
                </c:pt>
                <c:pt idx="164">
                  <c:v>1.7900000000000003</c:v>
                </c:pt>
                <c:pt idx="165">
                  <c:v>1.7600000000000002</c:v>
                </c:pt>
                <c:pt idx="166">
                  <c:v>1.7600000000000002</c:v>
                </c:pt>
                <c:pt idx="167">
                  <c:v>1.7400000000000002</c:v>
                </c:pt>
                <c:pt idx="168">
                  <c:v>1.7100000000000002</c:v>
                </c:pt>
                <c:pt idx="169">
                  <c:v>1.7000000000000002</c:v>
                </c:pt>
                <c:pt idx="170">
                  <c:v>1.6500000000000001</c:v>
                </c:pt>
                <c:pt idx="171">
                  <c:v>1.6500000000000001</c:v>
                </c:pt>
                <c:pt idx="172">
                  <c:v>1.62</c:v>
                </c:pt>
                <c:pt idx="173">
                  <c:v>1.55</c:v>
                </c:pt>
                <c:pt idx="174">
                  <c:v>1.47</c:v>
                </c:pt>
                <c:pt idx="175">
                  <c:v>1.48</c:v>
                </c:pt>
                <c:pt idx="176">
                  <c:v>1.42</c:v>
                </c:pt>
                <c:pt idx="177">
                  <c:v>1.43</c:v>
                </c:pt>
                <c:pt idx="178">
                  <c:v>1.49</c:v>
                </c:pt>
                <c:pt idx="179">
                  <c:v>1.49</c:v>
                </c:pt>
                <c:pt idx="180">
                  <c:v>1.49</c:v>
                </c:pt>
                <c:pt idx="181">
                  <c:v>1.44</c:v>
                </c:pt>
                <c:pt idx="182">
                  <c:v>1.3800000000000001</c:v>
                </c:pt>
                <c:pt idx="183">
                  <c:v>1.36</c:v>
                </c:pt>
                <c:pt idx="184">
                  <c:v>1.36</c:v>
                </c:pt>
                <c:pt idx="185">
                  <c:v>1.3</c:v>
                </c:pt>
                <c:pt idx="186">
                  <c:v>1.33</c:v>
                </c:pt>
                <c:pt idx="187">
                  <c:v>1.31</c:v>
                </c:pt>
                <c:pt idx="188">
                  <c:v>1.36</c:v>
                </c:pt>
                <c:pt idx="189">
                  <c:v>1.36</c:v>
                </c:pt>
                <c:pt idx="190">
                  <c:v>1.3800000000000001</c:v>
                </c:pt>
                <c:pt idx="191">
                  <c:v>1.41</c:v>
                </c:pt>
                <c:pt idx="192">
                  <c:v>1.42</c:v>
                </c:pt>
                <c:pt idx="193">
                  <c:v>1.3800000000000001</c:v>
                </c:pt>
                <c:pt idx="194">
                  <c:v>1.35</c:v>
                </c:pt>
                <c:pt idx="195">
                  <c:v>1.36</c:v>
                </c:pt>
                <c:pt idx="196">
                  <c:v>1.35</c:v>
                </c:pt>
                <c:pt idx="197">
                  <c:v>1.36</c:v>
                </c:pt>
                <c:pt idx="198">
                  <c:v>1.33</c:v>
                </c:pt>
                <c:pt idx="199">
                  <c:v>1.35</c:v>
                </c:pt>
                <c:pt idx="200">
                  <c:v>1.37</c:v>
                </c:pt>
                <c:pt idx="201">
                  <c:v>1.3900000000000001</c:v>
                </c:pt>
                <c:pt idx="202">
                  <c:v>1.37</c:v>
                </c:pt>
                <c:pt idx="203">
                  <c:v>1.35</c:v>
                </c:pt>
                <c:pt idx="204">
                  <c:v>1.37</c:v>
                </c:pt>
                <c:pt idx="205">
                  <c:v>1.37</c:v>
                </c:pt>
                <c:pt idx="206">
                  <c:v>1.37</c:v>
                </c:pt>
                <c:pt idx="207">
                  <c:v>1.3900000000000001</c:v>
                </c:pt>
                <c:pt idx="208">
                  <c:v>1.41</c:v>
                </c:pt>
                <c:pt idx="209">
                  <c:v>1.41</c:v>
                </c:pt>
                <c:pt idx="210">
                  <c:v>1.45</c:v>
                </c:pt>
                <c:pt idx="211">
                  <c:v>1.43</c:v>
                </c:pt>
                <c:pt idx="212">
                  <c:v>1.44</c:v>
                </c:pt>
                <c:pt idx="213">
                  <c:v>1.48</c:v>
                </c:pt>
                <c:pt idx="214">
                  <c:v>1.49</c:v>
                </c:pt>
                <c:pt idx="215">
                  <c:v>1.5</c:v>
                </c:pt>
                <c:pt idx="216">
                  <c:v>1.53</c:v>
                </c:pt>
                <c:pt idx="217">
                  <c:v>1.57</c:v>
                </c:pt>
                <c:pt idx="218">
                  <c:v>1.56</c:v>
                </c:pt>
                <c:pt idx="219">
                  <c:v>1.59</c:v>
                </c:pt>
                <c:pt idx="220">
                  <c:v>1.6300000000000001</c:v>
                </c:pt>
                <c:pt idx="221">
                  <c:v>1.6</c:v>
                </c:pt>
                <c:pt idx="222">
                  <c:v>1.58</c:v>
                </c:pt>
                <c:pt idx="223">
                  <c:v>1.58</c:v>
                </c:pt>
                <c:pt idx="224">
                  <c:v>1.6300000000000001</c:v>
                </c:pt>
                <c:pt idx="225">
                  <c:v>1.7200000000000002</c:v>
                </c:pt>
                <c:pt idx="226">
                  <c:v>1.7600000000000002</c:v>
                </c:pt>
                <c:pt idx="227">
                  <c:v>1.8</c:v>
                </c:pt>
                <c:pt idx="228">
                  <c:v>1.7800000000000002</c:v>
                </c:pt>
                <c:pt idx="229">
                  <c:v>1.7900000000000003</c:v>
                </c:pt>
                <c:pt idx="230">
                  <c:v>1.86</c:v>
                </c:pt>
                <c:pt idx="231">
                  <c:v>1.84</c:v>
                </c:pt>
                <c:pt idx="232">
                  <c:v>1.8</c:v>
                </c:pt>
                <c:pt idx="233">
                  <c:v>1.7800000000000002</c:v>
                </c:pt>
                <c:pt idx="234">
                  <c:v>1.84</c:v>
                </c:pt>
                <c:pt idx="235">
                  <c:v>1.83</c:v>
                </c:pt>
                <c:pt idx="236">
                  <c:v>1.84</c:v>
                </c:pt>
                <c:pt idx="237">
                  <c:v>1.84</c:v>
                </c:pt>
                <c:pt idx="238">
                  <c:v>1.87</c:v>
                </c:pt>
                <c:pt idx="239">
                  <c:v>1.86</c:v>
                </c:pt>
                <c:pt idx="240">
                  <c:v>1.82</c:v>
                </c:pt>
                <c:pt idx="241">
                  <c:v>1.86</c:v>
                </c:pt>
                <c:pt idx="242">
                  <c:v>1.9000000000000001</c:v>
                </c:pt>
                <c:pt idx="243">
                  <c:v>1.8900000000000001</c:v>
                </c:pt>
                <c:pt idx="244">
                  <c:v>1.8800000000000001</c:v>
                </c:pt>
                <c:pt idx="245">
                  <c:v>1.9100000000000001</c:v>
                </c:pt>
                <c:pt idx="246">
                  <c:v>1.9300000000000062</c:v>
                </c:pt>
                <c:pt idx="247">
                  <c:v>1.9900000000000069</c:v>
                </c:pt>
                <c:pt idx="248">
                  <c:v>2.08</c:v>
                </c:pt>
                <c:pt idx="249">
                  <c:v>2.0699999999999998</c:v>
                </c:pt>
                <c:pt idx="250">
                  <c:v>2.12</c:v>
                </c:pt>
                <c:pt idx="251">
                  <c:v>2.1</c:v>
                </c:pt>
                <c:pt idx="252">
                  <c:v>2.0299999999999998</c:v>
                </c:pt>
                <c:pt idx="253">
                  <c:v>2.15</c:v>
                </c:pt>
                <c:pt idx="254">
                  <c:v>2.14</c:v>
                </c:pt>
                <c:pt idx="255">
                  <c:v>2.06</c:v>
                </c:pt>
                <c:pt idx="256">
                  <c:v>2.08</c:v>
                </c:pt>
                <c:pt idx="257">
                  <c:v>2.09</c:v>
                </c:pt>
                <c:pt idx="258">
                  <c:v>2.11</c:v>
                </c:pt>
                <c:pt idx="259">
                  <c:v>2.11</c:v>
                </c:pt>
                <c:pt idx="260">
                  <c:v>2.04</c:v>
                </c:pt>
                <c:pt idx="261">
                  <c:v>2.14</c:v>
                </c:pt>
                <c:pt idx="262">
                  <c:v>2.19</c:v>
                </c:pt>
                <c:pt idx="263">
                  <c:v>2.2400000000000002</c:v>
                </c:pt>
                <c:pt idx="264">
                  <c:v>2.2200000000000002</c:v>
                </c:pt>
                <c:pt idx="265">
                  <c:v>2.2599999999999998</c:v>
                </c:pt>
                <c:pt idx="266">
                  <c:v>2.25</c:v>
                </c:pt>
                <c:pt idx="267">
                  <c:v>2.23</c:v>
                </c:pt>
                <c:pt idx="268">
                  <c:v>2.19</c:v>
                </c:pt>
                <c:pt idx="269">
                  <c:v>2.2400000000000002</c:v>
                </c:pt>
                <c:pt idx="270">
                  <c:v>2.23</c:v>
                </c:pt>
                <c:pt idx="271">
                  <c:v>2.25</c:v>
                </c:pt>
                <c:pt idx="272">
                  <c:v>2.27</c:v>
                </c:pt>
                <c:pt idx="273">
                  <c:v>2.29</c:v>
                </c:pt>
                <c:pt idx="274">
                  <c:v>2.27</c:v>
                </c:pt>
                <c:pt idx="275">
                  <c:v>2.2200000000000002</c:v>
                </c:pt>
                <c:pt idx="276">
                  <c:v>2.19</c:v>
                </c:pt>
                <c:pt idx="277">
                  <c:v>2.12</c:v>
                </c:pt>
                <c:pt idx="278">
                  <c:v>2.0299999999999998</c:v>
                </c:pt>
                <c:pt idx="279">
                  <c:v>2.02</c:v>
                </c:pt>
              </c:numCache>
            </c:numRef>
          </c:val>
        </c:ser>
        <c:marker val="1"/>
        <c:axId val="129836928"/>
        <c:axId val="129838464"/>
      </c:lineChart>
      <c:dateAx>
        <c:axId val="129836928"/>
        <c:scaling>
          <c:orientation val="minMax"/>
        </c:scaling>
        <c:axPos val="b"/>
        <c:numFmt formatCode="[$-409]mmmmm;@" sourceLinked="0"/>
        <c:tickLblPos val="nextTo"/>
        <c:spPr>
          <a:ln w="6350">
            <a:solidFill>
              <a:srgbClr val="000000"/>
            </a:solidFill>
            <a:prstDash val="solid"/>
          </a:ln>
        </c:spPr>
        <c:txPr>
          <a:bodyPr rot="0" vert="horz"/>
          <a:lstStyle/>
          <a:p>
            <a:pPr>
              <a:defRPr/>
            </a:pPr>
            <a:endParaRPr lang="en-US"/>
          </a:p>
        </c:txPr>
        <c:crossAx val="129838464"/>
        <c:crossesAt val="0.30000000000000032"/>
        <c:auto val="1"/>
        <c:lblOffset val="100"/>
        <c:baseTimeUnit val="days"/>
        <c:majorUnit val="1"/>
        <c:majorTimeUnit val="months"/>
        <c:minorUnit val="1"/>
        <c:minorTimeUnit val="days"/>
      </c:dateAx>
      <c:valAx>
        <c:axId val="129838464"/>
        <c:scaling>
          <c:orientation val="minMax"/>
          <c:max val="7"/>
          <c:min val="0"/>
        </c:scaling>
        <c:axPos val="l"/>
        <c:minorGridlines>
          <c:spPr>
            <a:ln>
              <a:solidFill>
                <a:srgbClr val="FFFFFF"/>
              </a:solidFill>
            </a:ln>
          </c:spPr>
        </c:minorGridlines>
        <c:numFmt formatCode="0" sourceLinked="0"/>
        <c:tickLblPos val="nextTo"/>
        <c:spPr>
          <a:ln w="12686">
            <a:solidFill>
              <a:srgbClr val="000000"/>
            </a:solidFill>
            <a:prstDash val="solid"/>
          </a:ln>
        </c:spPr>
        <c:txPr>
          <a:bodyPr rot="0" vert="horz"/>
          <a:lstStyle/>
          <a:p>
            <a:pPr>
              <a:defRPr/>
            </a:pPr>
            <a:endParaRPr lang="en-US"/>
          </a:p>
        </c:txPr>
        <c:crossAx val="129836928"/>
        <c:crosses val="autoZero"/>
        <c:crossBetween val="between"/>
        <c:majorUnit val="1"/>
        <c:minorUnit val="1"/>
      </c:valAx>
      <c:spPr>
        <a:noFill/>
        <a:ln w="25375">
          <a:noFill/>
        </a:ln>
      </c:spPr>
    </c:plotArea>
    <c:legend>
      <c:legendPos val="b"/>
      <c:layout>
        <c:manualLayout>
          <c:xMode val="edge"/>
          <c:yMode val="edge"/>
          <c:x val="0.17352688455842599"/>
          <c:y val="0.8422412823397124"/>
          <c:w val="0.66784381002654725"/>
          <c:h val="0.14602459816489891"/>
        </c:manualLayout>
      </c:layout>
      <c:overlay val="1"/>
      <c:spPr>
        <a:noFill/>
        <a:ln w="25373">
          <a:noFill/>
        </a:ln>
      </c:spPr>
    </c:legend>
    <c:plotVisOnly val="1"/>
    <c:dispBlanksAs val="gap"/>
  </c:chart>
  <c:spPr>
    <a:noFill/>
    <a:ln>
      <a:noFill/>
    </a:ln>
  </c:spPr>
  <c:txPr>
    <a:bodyPr/>
    <a:lstStyle/>
    <a:p>
      <a:pPr>
        <a:spcBef>
          <a:spcPts val="200"/>
        </a:spcBef>
        <a:defRPr sz="600" b="0" i="0" u="none" strike="noStrike" baseline="0">
          <a:solidFill>
            <a:srgbClr val="000000"/>
          </a:solidFill>
          <a:latin typeface="Calibri" pitchFamily="34" charset="0"/>
          <a:ea typeface="Verdana" pitchFamily="34" charset="0"/>
          <a:cs typeface="Calibri" pitchFamily="34" charset="0"/>
        </a:defRPr>
      </a:pPr>
      <a:endParaRPr lang="en-US"/>
    </a:p>
  </c:txPr>
  <c:externalData r:id="rId2"/>
</c:chartSpace>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47ADA6-A7CC-44BD-B964-ED45719687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Macro and Strategy</Template>
  <TotalTime>1</TotalTime>
  <Pages>1</Pages>
  <Words>390</Words>
  <Characters>2226</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2611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cp:revision>
  <cp:lastPrinted>2010-08-26T10:57:00Z</cp:lastPrinted>
  <dcterms:created xsi:type="dcterms:W3CDTF">2010-09-11T13:27:00Z</dcterms:created>
  <dcterms:modified xsi:type="dcterms:W3CDTF">2010-09-11T13:27:00Z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Invent</vt:lpwstr>
  </property>
  <property fmtid="{D5CDD505-2E9C-101B-9397-08002B2CF9AE}" pid="6" name="iR_Country_or_Sector">
    <vt:lpwstr>Demo for Amends</vt:lpwstr>
  </property>
  <property fmtid="{D5CDD505-2E9C-101B-9397-08002B2CF9AE}" pid="7" name="iR_Version_Name">
    <vt:lpwstr>1.0.0</vt:lpwstr>
  </property>
</Properties>
</file>