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Meridian Water Authority Project Status Report: SCADA Modernization Project, April 2026</w:t>
      </w:r>
    </w:p>
    <w:p>
      <w:r>
        <w:t xml:space="preserve">Report No. PSR-2026-006</w:t>
      </w:r>
    </w:p>
    <w:p>
      <w:r>
        <w:t xml:space="preserve">Issued by Meridian Water Authority, Engineering Projects Office</w:t>
      </w:r>
    </w:p>
    <w:p>
      <w:r>
        <w:t xml:space="preserve">Published 14 May 2026</w:t>
      </w:r>
    </w:p>
    <w:p>
      <w:pPr>
        <w:pStyle w:val="Heading2"/>
      </w:pPr>
      <w:r>
        <w:t xml:space="preserve">Executive Summary</w:t>
      </w:r>
    </w:p>
    <w:p>
      <w:r>
        <w:t xml:space="preserve">This project status report summarises progress on the SCADA Modernization Project at Meridian Water Authority for the month of April 2026. It is issued monthly by the Engineering Projects Office to the Capital Program Committee and to the Chief Operating Officer.</w:t>
      </w:r>
    </w:p>
    <w:p>
      <w:r>
        <w:t xml:space="preserve">The project remains on schedule and under budget. Site migrations are proceeding at the planned rate, although the largest pumping station has been deferred while a control design change is resolved, and the vendor has not yet provided the full commissioning team required by its contract. The project status is rated green for schedule and green for cost, with an amber flag on vendor resourcing.</w:t>
      </w:r>
    </w:p>
    <w:p>
      <w:r>
        <w:t xml:space="preserve">Three findings and two recommendations are presented. The Chief Operating Officer has accepted both recommendations.</w:t>
      </w:r>
    </w:p>
    <w:p>
      <w:pPr>
        <w:pStyle w:val="Heading2"/>
      </w:pPr>
      <w:r>
        <w:t xml:space="preserve">Background</w:t>
      </w:r>
    </w:p>
    <w:p>
      <w:r>
        <w:t xml:space="preserve">The SCADA Modernization Project is a three-year program to replace the authority's supervisory control and data acquisition platform at the treatment plant and at 22 remote pumping and storage sites. The existing platform is no longer supported by its manufacturer and cannot meet the authority's cybersecurity standard.</w:t>
      </w:r>
    </w:p>
    <w:p>
      <w:r>
        <w:t xml:space="preserve">The platform is supplied and commissioned by Brightwater Controls, the instrumentation and controls vendor selected through competitive tender in 2024. The contract requires the vendor to provide three commissioning engineers during the site migration phase, which runs from January to October 2026.</w:t>
      </w:r>
    </w:p>
    <w:p>
      <w:r>
        <w:t xml:space="preserve">The Fox Hollow Pumping Station is the largest remote facility in the network and lifts water from the river intake to the treatment plant through four variable speed pumps. Its migration was planned for April 2026 and is the most complex site in the program because the pump interlocks protect the intake from low river levels.</w:t>
      </w:r>
    </w:p>
    <w:p>
      <w:r>
        <w:t xml:space="preserve">Progress is measured against the baseline schedule approved in December 2025 and against the approved budget. The project office reviews cost and schedule with the vendor every two weeks.</w:t>
      </w:r>
    </w:p>
    <w:p>
      <w:pPr>
        <w:pStyle w:val="Heading2"/>
      </w:pPr>
      <w:r>
        <w:t xml:space="preserve">Findings</w:t>
      </w:r>
    </w:p>
    <w:p>
      <w:r>
        <w:t xml:space="preserve">Finding 1: The SCADA Modernization Project is on schedule, with 14 of 22 remote sites migrated to the new platform by the end of April 2026. Severity: Low. The baseline schedule called for 13 sites by this date. Each migrated site has passed its site acceptance test and has operated on the new platform without a control fault.</w:t>
      </w:r>
    </w:p>
    <w:p>
      <w:r>
        <w:t xml:space="preserve">Finding 2: Migration of the Fox Hollow Pumping Station was deferred by six weeks because of a pump control interlock design change. Severity: Medium. During design review the operations team identified that the new low river level interlock would trip all four pumps at once rather than staging them, which could cause a pressure surge in the rising main. The vendor has proposed a staged interlock design that is awaiting approval. The deferral does not affect the overall completion date because two smaller sites were brought forward.</w:t>
      </w:r>
    </w:p>
    <w:p>
      <w:r>
        <w:t xml:space="preserve">Finding 3: Brightwater Controls has staffed only two of the three commissioning engineers required by the contract. Severity: Medium. The vendor has stated that the third engineer will be released from another project in June. With two engineers the vendor can migrate two sites a month, which is sufficient until July, when three sites are scheduled.</w:t>
      </w:r>
    </w:p>
    <w:p>
      <w:pPr>
        <w:pStyle w:val="Heading2"/>
      </w:pPr>
      <w:r>
        <w:t xml:space="preserve">Recommendations</w:t>
      </w:r>
    </w:p>
    <w:p>
      <w:r>
        <w:t xml:space="preserve">Recommendation 1: Require Brightwater Controls to assign the third commissioning engineer before the July 2026 migration window. Priority: High. The project office should issue a formal notice under the contract and confirm the engineer's name and start date in writing by 15 June 2026.</w:t>
      </w:r>
    </w:p>
    <w:p>
      <w:r>
        <w:t xml:space="preserve">Recommendation 2: Approve the revised interlock design for the Fox Hollow Pumping Station and update the migration sequence. Priority: Medium. The operations manager and the engineer of record should sign off the staged interlock design at the May design review so that the station can be migrated in June.</w:t>
      </w:r>
    </w:p>
    <w:p>
      <w:pPr>
        <w:pStyle w:val="Heading2"/>
      </w:pPr>
      <w:r>
        <w:t xml:space="preserve">Financial Impact</w:t>
      </w:r>
    </w:p>
    <w:p>
      <w:r>
        <w:t xml:space="preserve">The approved project budget is $9.2 million, authorised by the Board in September 2024. The budget includes a contingency of $700,000, of which $120,000 has been drawn to date for additional network equipment at three remote sites.</w:t>
      </w:r>
    </w:p>
    <w:p>
      <w:r>
        <w:t xml:space="preserve">Spend to date at the end of April 2026 was USD 5,640,000, or 61 percent of the approved budget, against 64 percent of the schedule elapsed. The forecast cost at completion remains within the approved budget.</w:t>
      </w:r>
    </w:p>
    <w:p>
      <w:pPr>
        <w:pStyle w:val="Heading2"/>
      </w:pPr>
      <w:r>
        <w:t xml:space="preserve">Appendix</w:t>
      </w:r>
    </w:p>
    <w:p>
      <w:r>
        <w:t xml:space="preserve">Appendix A: Milestone status. Treatment plant migration complete on 28 February 2026. Fourteen remote sites migrated by 30 April 2026. Fox Hollow Pumping Station migration rescheduled to June 2026. All sites migrated by 31 October 2026. Legacy platform decommissioned by 31 December 2026.</w:t>
      </w:r>
    </w:p>
    <w:p>
      <w:r>
        <w:t xml:space="preserve">Appendix B: Risk register summary. The top risks are vendor commissioning resources, further interlock design changes at the pumping stations and the availability of operations staff for site acceptance testing during the summer holiday period. Each risk has a named owner and a mitigation plan.</w:t>
      </w:r>
    </w:p>
    <w:p>
      <w:r>
        <w:t xml:space="preserve">Appendix C: Distribution. This report is distributed to the Capital Program Committee, the Chief Operating Officer, the Director of Engineering and the vendor's project 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Water Authority Project Status Report: SCADA Modernization Project, April 2026</dc:title>
  <dc:creator>Meridian Water Authority</dc:creator>
  <dc:description>EvidenceOps synthetic fixture</dc:description>
  <cp:lastModifiedBy>Un-named</cp:lastModifiedBy>
  <cp:revision>1</cp:revision>
  <dcterms:created xsi:type="dcterms:W3CDTF">2026-09-10T07:11:16.644Z</dcterms:created>
  <dcterms:modified xsi:type="dcterms:W3CDTF">2026-09-10T07:11:16.644Z</dcterms:modified>
</cp:coreProperties>
</file>

<file path=docProps/custom.xml><?xml version="1.0" encoding="utf-8"?>
<Properties xmlns="http://schemas.openxmlformats.org/officeDocument/2006/custom-properties" xmlns:vt="http://schemas.openxmlformats.org/officeDocument/2006/docPropsVTypes"/>
</file>