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Business Plan</w:t>
      </w:r>
    </w:p>
    <w:p>
      <w:pPr>
        <w:spacing w:after="120"/>
      </w:pPr>
      <w:r>
        <w:rPr>
          <w:sz w:val="26"/>
          <w:szCs w:val="26"/>
        </w:rPr>
        <w:t xml:space="preserve">Ostrelyva Acquisition LLC — acquisition of the boutique fitness business of Ostrelyva Fitness LLC</w:t>
      </w:r>
    </w:p>
    <w:p>
      <w:pPr>
        <w:spacing w:after="120"/>
      </w:pPr>
      <w:r>
        <w:rPr>
          <w:i/>
          <w:iCs/>
          <w:color w:val="555555"/>
          <w:sz w:val="22"/>
          <w:szCs w:val="22"/>
        </w:rPr>
        <w:t xml:space="preserve">Prepared August 31, 2026 for Zelmivar Bank</w:t>
      </w:r>
    </w:p>
    <w:p>
      <w:pPr>
        <w:spacing w:after="120"/>
      </w:pPr>
      <w:r>
        <w:rPr>
          <w:color w:val="555555"/>
          <w:sz w:val="18"/>
          <w:szCs w:val="18"/>
        </w:rPr>
        <w:t xml:space="preserve">Name: Ostrelyva Acquisition LLC</w:t>
      </w:r>
    </w:p>
    <w:p>
      <w:pPr>
        <w:spacing w:after="120"/>
      </w:pPr>
      <w:r>
        <w:rPr>
          <w:color w:val="555555"/>
          <w:sz w:val="18"/>
          <w:szCs w:val="18"/>
        </w:rPr>
        <w:t xml:space="preserve">Document date: 08/31/2026</w:t>
      </w:r>
    </w:p>
    <w:p>
      <w:pPr>
        <w:pStyle w:val="Heading1"/>
        <w:spacing w:after="120" w:before="240"/>
      </w:pPr>
      <w:r>
        <w:t xml:space="preserve">1. Executive Summary</w:t>
      </w:r>
    </w:p>
    <w:p>
      <w:pPr>
        <w:spacing w:after="120"/>
      </w:pPr>
      <w:r>
        <w:rPr>
          <w:sz w:val="22"/>
          <w:szCs w:val="22"/>
        </w:rPr>
        <w:t xml:space="preserve">Ostrelyva Acquisition LLC will acquire the boutique fitness business of Ostrelyva Fitness LLC, an established company with $1,400,000 in revenue last year and a base of recurring customers. The purchase is financed with an SBA 7(a) loan, the buyer’s cash injection and, where applicable, a note from the seller on full standby.</w:t>
      </w:r>
    </w:p>
    <w:p>
      <w:pPr>
        <w:pStyle w:val="Heading1"/>
        <w:spacing w:after="120" w:before="240"/>
      </w:pPr>
      <w:r>
        <w:t xml:space="preserve">2. Company Description</w:t>
      </w:r>
    </w:p>
    <w:p>
      <w:pPr>
        <w:spacing w:after="120"/>
      </w:pPr>
      <w:r>
        <w:rPr>
          <w:sz w:val="22"/>
          <w:szCs w:val="22"/>
        </w:rPr>
        <w:t xml:space="preserve">Ostrelyva Fitness LLC has served the Tazmervale area for more than a decade from its location at 14 Velnoric Way. After closing, the business keeps its name, staff, phone number and customer agreements, with the buyer as owner and general manager.</w:t>
      </w:r>
    </w:p>
    <w:p>
      <w:pPr>
        <w:pStyle w:val="Heading1"/>
        <w:spacing w:after="120" w:before="240"/>
      </w:pPr>
      <w:r>
        <w:t xml:space="preserve">3. Market Analysis</w:t>
      </w:r>
    </w:p>
    <w:p>
      <w:pPr>
        <w:spacing w:after="120"/>
      </w:pPr>
      <w:r>
        <w:rPr>
          <w:sz w:val="22"/>
          <w:szCs w:val="22"/>
        </w:rPr>
        <w:t xml:space="preserve">Demand in the service area is steady and driven by replacement and maintenance rather than new construction. The three nearest competitors are owner-operated and do not offer maintenance agreements, which is the business’s main advantage.</w:t>
      </w:r>
    </w:p>
    <w:p>
      <w:pPr>
        <w:pStyle w:val="Heading1"/>
        <w:spacing w:after="120" w:before="240"/>
      </w:pPr>
      <w:r>
        <w:t xml:space="preserve">4. Organization and Management</w:t>
      </w:r>
    </w:p>
    <w:p>
      <w:pPr>
        <w:spacing w:after="120"/>
      </w:pPr>
      <w:r>
        <w:rPr>
          <w:sz w:val="22"/>
          <w:szCs w:val="22"/>
        </w:rPr>
        <w:t xml:space="preserve">Ostrelyva Acquisition LLC is owned by the individuals listed in its ownership chart. The buyer has fifteen years of experience in the trade and seven years managing daily operations. The seller will provide a transition period under a consulting agreement.</w:t>
      </w:r>
    </w:p>
    <w:p>
      <w:pPr>
        <w:pStyle w:val="Heading1"/>
        <w:spacing w:after="120" w:before="240"/>
      </w:pPr>
      <w:r>
        <w:t xml:space="preserve">5. Service Line</w:t>
      </w:r>
    </w:p>
    <w:p>
      <w:pPr>
        <w:spacing w:after="120"/>
      </w:pPr>
      <w:r>
        <w:rPr>
          <w:sz w:val="22"/>
          <w:szCs w:val="22"/>
        </w:rPr>
        <w:t xml:space="preserve">Maintenance agreements, repair calls and equipment replacement, priced from a published rate card and reviewed annually.</w:t>
      </w:r>
    </w:p>
    <w:p>
      <w:pPr>
        <w:pStyle w:val="Heading1"/>
        <w:spacing w:after="120" w:before="240"/>
      </w:pPr>
      <w:r>
        <w:t xml:space="preserve">6. Marketing and Sales</w:t>
      </w:r>
    </w:p>
    <w:p>
      <w:pPr>
        <w:spacing w:after="120"/>
      </w:pPr>
      <w:r>
        <w:rPr>
          <w:sz w:val="22"/>
          <w:szCs w:val="22"/>
        </w:rPr>
        <w:t xml:space="preserve">Retain existing agreement customers through a welcome letter and priority scheduling, grow referrals from property managers, and add a seasonal promotion each spring and fall.</w:t>
      </w:r>
    </w:p>
    <w:p>
      <w:pPr>
        <w:pStyle w:val="Heading1"/>
        <w:spacing w:after="120" w:before="240"/>
      </w:pPr>
      <w:r>
        <w:t xml:space="preserve">7. Funding Request</w:t>
      </w:r>
    </w:p>
    <w:tbl>
      <w:tblPr>
        <w:tblW w:type="pct" w:w="100%"/>
        <w:tblBorders>
          <w:top w:val="single" w:color="auto" w:sz="4"/>
          <w:left w:val="single" w:color="auto" w:sz="4"/>
          <w:bottom w:val="single" w:color="auto" w:sz="4"/>
          <w:right w:val="single" w:color="auto" w:sz="4"/>
          <w:insideH w:val="single" w:color="CCCCCC" w:sz="2"/>
          <w:insideV w:val="single" w:color="auto" w:sz="4"/>
        </w:tblBorders>
      </w:tblPr>
      <w:tblGrid>
        <w:gridCol w:w="100"/>
        <w:gridCol w:w="100"/>
      </w:tblGrid>
      <w:tr>
        <w:tc>
          <w:tcPr>
            <w:tcW w:type="pct" w:w="70%"/>
          </w:tcPr>
          <w:p>
            <w:pPr>
              <w:jc w:val="left"/>
            </w:pPr>
            <w:r>
              <w:rPr>
                <w:b/>
                <w:bCs/>
                <w:sz w:val="20"/>
                <w:szCs w:val="20"/>
              </w:rPr>
              <w:t xml:space="preserve">Use of funds</w:t>
            </w:r>
          </w:p>
        </w:tc>
        <w:tc>
          <w:tcPr>
            <w:tcW w:type="pct" w:w="30%"/>
          </w:tcPr>
          <w:p>
            <w:pPr>
              <w:jc w:val="right"/>
            </w:pPr>
            <w:r>
              <w:rPr>
                <w:b/>
                <w:bCs/>
                <w:sz w:val="20"/>
                <w:szCs w:val="20"/>
              </w:rPr>
              <w:t xml:space="preserve">Amount</w:t>
            </w:r>
          </w:p>
        </w:tc>
      </w:tr>
      <w:tr>
        <w:tc>
          <w:tcPr>
            <w:tcW w:type="pct" w:w="70%"/>
          </w:tcPr>
          <w:p>
            <w:pPr>
              <w:jc w:val="left"/>
            </w:pPr>
            <w:r>
              <w:rPr>
                <w:b w:val="false"/>
                <w:bCs w:val="false"/>
                <w:sz w:val="20"/>
                <w:szCs w:val="20"/>
              </w:rPr>
              <w:t xml:space="preserve">Purchase of the business</w:t>
            </w:r>
          </w:p>
        </w:tc>
        <w:tc>
          <w:tcPr>
            <w:tcW w:type="pct" w:w="30%"/>
          </w:tcPr>
          <w:p>
            <w:pPr>
              <w:jc w:val="right"/>
            </w:pPr>
            <w:r>
              <w:rPr>
                <w:b w:val="false"/>
                <w:bCs w:val="false"/>
                <w:sz w:val="20"/>
                <w:szCs w:val="20"/>
              </w:rPr>
              <w:t xml:space="preserve">$850,000</w:t>
            </w:r>
          </w:p>
        </w:tc>
      </w:tr>
      <w:tr>
        <w:tc>
          <w:tcPr>
            <w:tcW w:type="pct" w:w="70%"/>
          </w:tcPr>
          <w:p>
            <w:pPr>
              <w:jc w:val="left"/>
            </w:pPr>
            <w:r>
              <w:rPr>
                <w:b w:val="false"/>
                <w:bCs w:val="false"/>
                <w:sz w:val="20"/>
                <w:szCs w:val="20"/>
              </w:rPr>
              <w:t xml:space="preserve">Working capital and closing costs</w:t>
            </w:r>
          </w:p>
        </w:tc>
        <w:tc>
          <w:tcPr>
            <w:tcW w:type="pct" w:w="30%"/>
          </w:tcPr>
          <w:p>
            <w:pPr>
              <w:jc w:val="right"/>
            </w:pPr>
            <w:r>
              <w:rPr>
                <w:b w:val="false"/>
                <w:bCs w:val="false"/>
                <w:sz w:val="20"/>
                <w:szCs w:val="20"/>
              </w:rPr>
              <w:t xml:space="preserve">$100,000</w:t>
            </w:r>
          </w:p>
        </w:tc>
      </w:tr>
      <w:tr>
        <w:tc>
          <w:tcPr>
            <w:tcW w:type="pct" w:w="70%"/>
          </w:tcPr>
          <w:p>
            <w:pPr>
              <w:jc w:val="left"/>
            </w:pPr>
            <w:r>
              <w:rPr>
                <w:b/>
                <w:bCs/>
                <w:sz w:val="20"/>
                <w:szCs w:val="20"/>
              </w:rPr>
              <w:t xml:space="preserve">Total project cost</w:t>
            </w:r>
          </w:p>
        </w:tc>
        <w:tc>
          <w:tcPr>
            <w:tcW w:type="pct" w:w="30%"/>
          </w:tcPr>
          <w:p>
            <w:pPr>
              <w:jc w:val="right"/>
            </w:pPr>
            <w:r>
              <w:rPr>
                <w:b/>
                <w:bCs/>
                <w:sz w:val="20"/>
                <w:szCs w:val="20"/>
              </w:rPr>
              <w:t xml:space="preserve">$950,000</w:t>
            </w:r>
          </w:p>
        </w:tc>
      </w:tr>
    </w:tbl>
    <w:p>
      <w:pPr>
        <w:pStyle w:val="Heading1"/>
        <w:spacing w:after="120" w:before="240"/>
      </w:pPr>
      <w:r>
        <w:t xml:space="preserve">8. Financial Projections</w:t>
      </w:r>
    </w:p>
    <w:p>
      <w:pPr>
        <w:spacing w:after="120"/>
      </w:pPr>
      <w:r>
        <w:rPr>
          <w:sz w:val="22"/>
          <w:szCs w:val="22"/>
        </w:rPr>
        <w:t xml:space="preserve">Revenue is projected to grow 4% a year from $1,400,000, with gross margin held at 55% and debt service coverage above 1.5x in each of the first three years. Detailed projections are attached.</w:t>
      </w:r>
    </w:p>
    <w:p>
      <w:pPr>
        <w:spacing w:after="120"/>
      </w:pPr>
      <w:r>
        <w:rPr>
          <w:color w:val="555555"/>
          <w:sz w:val="18"/>
          <w:szCs w:val="18"/>
        </w:rPr>
        <w:t xml:space="preserve">Signature: e-signed; Date: 08/31/2026</w:t>
      </w:r>
    </w:p>
    <w:p>
      <w:pPr>
        <w:spacing w:after="120"/>
      </w:pPr>
      <w:r>
        <w:rPr>
          <w:color w:val="B00000"/>
          <w:sz w:val="18"/>
          <w:szCs w:val="18"/>
        </w:rPr>
        <w:t xml:space="preserve">SYNTHETIC SPECIMEN — synthetic test data; not a real business plan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pPr>
    <w:r>
      <w:rPr>
        <w:color w:val="B00000"/>
        <w:sz w:val="16"/>
        <w:szCs w:val="16"/>
      </w:rPr>
      <w:t xml:space="preserve">SYNTHETIC SPECIMEN — synthetic test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666666"/>
        <w:sz w:val="16"/>
        <w:szCs w:val="16"/>
      </w:rPr>
      <w:t xml:space="preserve">Ostrelyva Acquisition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dc:title>
  <dc:creator>Synthetic fixture generator</dc:creator>
  <dc:description>Synthetic business plan</dc:description>
  <cp:lastModifiedBy>Un-named</cp:lastModifiedBy>
  <cp:revision>1</cp:revision>
  <dcterms:created xsi:type="dcterms:W3CDTF">2026-09-15T12:00:00.000Z</dcterms:created>
  <dcterms:modified xsi:type="dcterms:W3CDTF">2026-09-15T12:00:00.000Z</dcterms:modified>
</cp:coreProperties>
</file>

<file path=docProps/custom.xml><?xml version="1.0" encoding="utf-8"?>
<Properties xmlns="http://schemas.openxmlformats.org/officeDocument/2006/custom-properties" xmlns:vt="http://schemas.openxmlformats.org/officeDocument/2006/docPropsVTypes"/>
</file>