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1A365D"/>
          <w:sz w:val="40"/>
        </w:rPr>
        <w:t>矿产供应链运营管理系统</w:t>
      </w:r>
    </w:p>
    <w:p>
      <w:pPr>
        <w:pStyle w:val="Heading2"/>
      </w:pPr>
      <w:r>
        <w:rPr>
          <w:b/>
          <w:color w:val="1E4D8C"/>
          <w:sz w:val="32"/>
        </w:rPr>
        <w:t>03 物流运营 · 物流管理</w:t>
      </w:r>
    </w:p>
    <w:p>
      <w:pPr>
        <w:pBdr>
          <w:bottom w:val="single" w:sz="4" w:space="1" w:color="C7D2FE"/>
        </w:pBdr>
      </w:pPr>
    </w:p>
    <w:p>
      <w:pPr>
        <w:pStyle w:val="Heading2"/>
      </w:pPr>
      <w:r>
        <w:rPr>
          <w:b/>
          <w:color w:val="1E4D8C"/>
          <w:sz w:val="32"/>
        </w:rPr>
        <w:t>角色定位</w:t>
      </w:r>
    </w:p>
    <w:p>
      <w:r>
        <w:rPr>
          <w:sz w:val="20"/>
        </w:rPr>
        <w:t>物流运营是</w:t>
      </w:r>
      <w:r>
        <w:rPr>
          <w:b/>
          <w:sz w:val="20"/>
        </w:rPr>
        <w:t>货物从供应商到仓库、从仓库到客户的组织执行方</w:t>
      </w:r>
      <w:r>
        <w:rPr>
          <w:sz w:val="20"/>
        </w:rPr>
        <w:t>，负责叫车调度、运输任务全程跟踪、入库与出库确认，以及与承运商的运费核算对账。运营平台方是物流的组织方，承运商是被调度和履约的一方。</w:t>
      </w:r>
    </w:p>
    <w:p>
      <w:pPr>
        <w:ind w:left="454" w:right="454"/>
        <w:shd w:val="clear" w:fill="EFF6FF"/>
      </w:pPr>
      <w:r>
        <w:rPr>
          <w:color w:val="1E40AF"/>
          <w:sz w:val="19"/>
        </w:rPr>
      </w:r>
      <w:r>
        <w:rPr>
          <w:b/>
          <w:color w:val="1E40AF"/>
          <w:sz w:val="19"/>
        </w:rPr>
        <w:t>典型岗位</w:t>
      </w:r>
      <w:r>
        <w:rPr>
          <w:color w:val="1E40AF"/>
          <w:sz w:val="19"/>
        </w:rPr>
        <w:t>：物流对接、物流台账核对、采购对接（如蔡宇豪、李纯福）</w:t>
      </w:r>
    </w:p>
    <w:p>
      <w:pPr>
        <w:pBdr>
          <w:bottom w:val="single" w:sz="4" w:space="1" w:color="C7D2FE"/>
        </w:pBdr>
      </w:pPr>
    </w:p>
    <w:p>
      <w:pPr>
        <w:pStyle w:val="Heading2"/>
      </w:pPr>
      <w:r>
        <w:rPr>
          <w:b/>
          <w:color w:val="1E4D8C"/>
          <w:sz w:val="32"/>
        </w:rPr>
        <w:t>业务链位置</w:t>
      </w:r>
    </w:p>
    <w:p>
      <w:pPr>
        <w:ind w:left="454"/>
      </w:pPr>
      <w:r>
        <w:rPr>
          <w:rFonts w:ascii="Courier New" w:hAnsi="Courier New"/>
          <w:color w:val="1E406E"/>
          <w:sz w:val="17"/>
        </w:rPr>
        <w:t>【采销业务员 · 合同管理】</w:t>
        <w:br/>
      </w:r>
      <w:r>
        <w:rPr>
          <w:rFonts w:ascii="Courier New" w:hAnsi="Courier New"/>
          <w:color w:val="1E406E"/>
          <w:sz w:val="17"/>
        </w:rPr>
        <w:t>（下达供应商发货指令 / 销售提单）</w:t>
        <w:br/>
      </w:r>
      <w:r>
        <w:rPr>
          <w:rFonts w:ascii="Courier New" w:hAnsi="Courier New"/>
          <w:color w:val="1E406E"/>
          <w:sz w:val="17"/>
        </w:rPr>
        <w:t xml:space="preserve">          ↓</w:t>
        <w:br/>
      </w:r>
      <w:r>
        <w:rPr>
          <w:rFonts w:ascii="Courier New" w:hAnsi="Courier New"/>
          <w:color w:val="1E406E"/>
          <w:sz w:val="17"/>
        </w:rPr>
        <w:t>【物流运营 · 物流管理】← 你在这里</w:t>
        <w:br/>
      </w:r>
      <w:r>
        <w:rPr>
          <w:rFonts w:ascii="Courier New" w:hAnsi="Courier New"/>
          <w:color w:val="1E406E"/>
          <w:sz w:val="17"/>
        </w:rPr>
        <w:t xml:space="preserve">     ↙              ↘</w:t>
        <w:br/>
      </w:r>
      <w:r>
        <w:rPr>
          <w:rFonts w:ascii="Courier New" w:hAnsi="Courier New"/>
          <w:color w:val="1E406E"/>
          <w:sz w:val="17"/>
        </w:rPr>
        <w:t>地磅管理            仓储库管</w:t>
        <w:br/>
      </w:r>
      <w:r>
        <w:rPr>
          <w:rFonts w:ascii="Courier New" w:hAnsi="Courier New"/>
          <w:color w:val="1E406E"/>
          <w:sz w:val="17"/>
        </w:rPr>
        <w:t>（车辆过磅）        （触发入库/出库）</w:t>
        <w:br/>
      </w:r>
      <w:r>
        <w:rPr>
          <w:rFonts w:ascii="Courier New" w:hAnsi="Courier New"/>
          <w:color w:val="1E406E"/>
          <w:sz w:val="17"/>
        </w:rPr>
        <w:t xml:space="preserve">     ↓</w:t>
        <w:br/>
      </w:r>
      <w:r>
        <w:rPr>
          <w:rFonts w:ascii="Courier New" w:hAnsi="Courier New"/>
          <w:color w:val="1E406E"/>
          <w:sz w:val="17"/>
        </w:rPr>
        <w:t>财务结算</w:t>
        <w:br/>
      </w:r>
      <w:r>
        <w:rPr>
          <w:rFonts w:ascii="Courier New" w:hAnsi="Courier New"/>
          <w:color w:val="1E406E"/>
          <w:sz w:val="17"/>
        </w:rPr>
        <w:t>（运费核算归集）</w:t>
        <w:br/>
      </w:r>
    </w:p>
    <w:p>
      <w:pPr>
        <w:pBdr>
          <w:bottom w:val="single" w:sz="4" w:space="1" w:color="C7D2FE"/>
        </w:pBdr>
      </w:pPr>
    </w:p>
    <w:p>
      <w:pPr>
        <w:pStyle w:val="Heading2"/>
      </w:pPr>
      <w:r>
        <w:rPr>
          <w:b/>
          <w:color w:val="1E4D8C"/>
          <w:sz w:val="32"/>
        </w:rPr>
        <w:t>上游任务流：开始操作前需确认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前置条件</w:t>
            </w:r>
          </w:p>
        </w:tc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来源</w:t>
            </w:r>
          </w:p>
        </w:tc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供应商发货指令已下达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采销业务员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采购合同生效后，业务员在系统下达发货指令，你接收并创建运输任务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销售提单已创建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采销业务员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销售合同生效后，业务员创建提单，你据此安排出库运输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车辆档案已维护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系统管理员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运单需从主数据选择车辆，确保车牌、司机信息完整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承运商信息已录入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系统管理员/承运商管理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物流供应商资质、运价协议需提前维护</w:t>
            </w:r>
          </w:p>
        </w:tc>
      </w:tr>
    </w:tbl>
    <w:p/>
    <w:p>
      <w:pPr>
        <w:pBdr>
          <w:bottom w:val="single" w:sz="4" w:space="1" w:color="C7D2FE"/>
        </w:pBdr>
      </w:pPr>
    </w:p>
    <w:p>
      <w:pPr>
        <w:pStyle w:val="Heading2"/>
      </w:pPr>
      <w:r>
        <w:rPr>
          <w:b/>
          <w:color w:val="1E4D8C"/>
          <w:sz w:val="32"/>
        </w:rPr>
        <w:t>核心功能模块</w:t>
      </w:r>
    </w:p>
    <w:p>
      <w:pPr>
        <w:pStyle w:val="Heading3"/>
      </w:pPr>
      <w:r>
        <w:rPr>
          <w:b/>
          <w:color w:val="2563EB"/>
          <w:sz w:val="26"/>
        </w:rPr>
        <w:t>功能清单总览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功能模块</w:t>
            </w:r>
          </w:p>
        </w:tc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功能描述</w:t>
            </w:r>
          </w:p>
        </w:tc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优先级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物流运单管理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创建和管理物流运输单据，关联发货指令或提单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运输任务管理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由发货/提货指令自动或手动生成运输任务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叫车派车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选择承运商、调度车辆、指派司机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物流入库单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货物到达后确认入库，关联地磅数据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物流出库单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销售出库场景的物流出库确认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物流查询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查询第三方物流平台的实时物流状态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运费核算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按运价核算运费，生成结算单与承运商对账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在途监控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车辆运输全过程跟踪与异常预警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物流报表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每月出具物流报表给财务（运输台账、运费汇总）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承运商管理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维护物流供应商、司机、车辆信息和运价协议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Bdr>
          <w:bottom w:val="single" w:sz="4" w:space="1" w:color="C7D2FE"/>
        </w:pBdr>
      </w:pPr>
    </w:p>
    <w:p>
      <w:pPr>
        <w:pStyle w:val="Heading3"/>
      </w:pPr>
      <w:r>
        <w:rPr>
          <w:b/>
          <w:color w:val="2563EB"/>
          <w:sz w:val="26"/>
        </w:rPr>
        <w:t>一、物流运单管理</w:t>
      </w:r>
    </w:p>
    <w:p>
      <w:pPr>
        <w:pStyle w:val="Heading4"/>
      </w:pPr>
      <w:r>
        <w:rPr>
          <w:b/>
          <w:color w:val="374151"/>
          <w:sz w:val="22"/>
        </w:rPr>
        <w:t>1.1 创建运单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创建方式</w:t>
            </w:r>
          </w:p>
        </w:tc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由供应商发货指令发起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采购入库场景，关联采购合同发货指令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由销售提单发起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销售发货场景，关联销售合同提单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独立创建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可独立创建后手动关联采购提货或销售提单</w:t>
            </w:r>
          </w:p>
        </w:tc>
      </w:tr>
    </w:tbl>
    <w:p/>
    <w:p>
      <w:r>
        <w:rPr>
          <w:sz w:val="20"/>
        </w:rPr>
        <w:t>支持增删改查；关键操作需短流程审核并抄送相关人员。</w:t>
      </w:r>
    </w:p>
    <w:p>
      <w:pPr>
        <w:pStyle w:val="Heading4"/>
      </w:pPr>
      <w:r>
        <w:rPr>
          <w:b/>
          <w:color w:val="374151"/>
          <w:sz w:val="22"/>
        </w:rPr>
        <w:t>1.2 物流运单字段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字段分组</w:t>
            </w:r>
          </w:p>
        </w:tc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字段名称</w:t>
            </w:r>
          </w:p>
        </w:tc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提货信息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提货地点/时间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货物提取的地点与计划时间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提货信息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发货指令/提单号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关联的业务单据编号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送达信息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送达地点/预计到达时间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货物送达目的地与预计时间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物流供应商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物流公司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承运的物流公司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物流供应商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司机/车辆/车牌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执行运输的司机与车辆信息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物流供应商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里程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运输里程数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运输信息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运输方式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汽运/铁运/船运等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运输信息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运输状态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待发运 / 在途 / 已到达 / 已签收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运输费用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运费/运杂费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运输相关费用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运输费用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费用承担方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我方/对方承担运输费用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商品信息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物料/数量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运输的货物明细</w:t>
            </w:r>
          </w:p>
        </w:tc>
      </w:tr>
    </w:tbl>
    <w:p/>
    <w:p>
      <w:pPr>
        <w:pStyle w:val="Heading4"/>
      </w:pPr>
      <w:r>
        <w:rPr>
          <w:b/>
          <w:color w:val="374151"/>
          <w:sz w:val="22"/>
        </w:rPr>
        <w:t>1.3 物流查询</w:t>
      </w:r>
    </w:p>
    <w:p>
      <w:r>
        <w:rPr>
          <w:sz w:val="20"/>
        </w:rPr>
        <w:t>对接第三方物流平台，查询货物在途实时状态。在第三方物流系统中获取当前位置、预计到达时间、在途异常信息。</w:t>
      </w:r>
    </w:p>
    <w:p>
      <w:pPr>
        <w:pBdr>
          <w:bottom w:val="single" w:sz="4" w:space="1" w:color="C7D2FE"/>
        </w:pBdr>
      </w:pPr>
    </w:p>
    <w:p>
      <w:pPr>
        <w:pStyle w:val="Heading3"/>
      </w:pPr>
      <w:r>
        <w:rPr>
          <w:b/>
          <w:color w:val="2563EB"/>
          <w:sz w:val="26"/>
        </w:rPr>
        <w:t>二、物流入库单（采购到货确认）</w:t>
      </w:r>
    </w:p>
    <w:p>
      <w:pPr>
        <w:pStyle w:val="Heading4"/>
      </w:pPr>
      <w:r>
        <w:rPr>
          <w:b/>
          <w:color w:val="374151"/>
          <w:sz w:val="22"/>
        </w:rPr>
        <w:t>2.1 功能说明</w:t>
      </w:r>
    </w:p>
    <w:p>
      <w:r>
        <w:rPr>
          <w:sz w:val="20"/>
        </w:rPr>
        <w:t>货物过磅进入仓库后，通过物流入库单完成到货确认，触发库存形成流程。</w:t>
      </w:r>
    </w:p>
    <w:p>
      <w:r>
        <w:rPr>
          <w:sz w:val="20"/>
        </w:rPr>
      </w:r>
      <w:r>
        <w:rPr>
          <w:b/>
          <w:sz w:val="20"/>
        </w:rPr>
        <w:t>数据来源</w:t>
      </w:r>
      <w:r>
        <w:rPr>
          <w:sz w:val="20"/>
        </w:rPr>
        <w:t>：发货指令 + 物流运单 + 地磅过磅数据</w:t>
      </w:r>
    </w:p>
    <w:p>
      <w:pPr>
        <w:pStyle w:val="Heading4"/>
      </w:pPr>
      <w:r>
        <w:rPr>
          <w:b/>
          <w:color w:val="374151"/>
          <w:sz w:val="22"/>
        </w:rPr>
        <w:t>2.2 操作流程</w:t>
      </w:r>
    </w:p>
    <w:p>
      <w:pPr>
        <w:ind w:left="454"/>
      </w:pPr>
      <w:r>
        <w:rPr>
          <w:rFonts w:ascii="Courier New" w:hAnsi="Courier New"/>
          <w:color w:val="1E406E"/>
          <w:sz w:val="17"/>
        </w:rPr>
        <w:t>方式一：选择发货指令 → 选择物流运单 → 地磅数据自动带入 → 入库确认</w:t>
        <w:br/>
      </w:r>
      <w:r>
        <w:rPr>
          <w:rFonts w:ascii="Courier New" w:hAnsi="Courier New"/>
          <w:color w:val="1E406E"/>
          <w:sz w:val="17"/>
        </w:rPr>
        <w:t>方式二：直接选择物流运单 → 手动关联地磅数据 → 入库确认</w:t>
        <w:br/>
      </w:r>
    </w:p>
    <w:p>
      <w:pPr>
        <w:pStyle w:val="Heading4"/>
      </w:pPr>
      <w:r>
        <w:rPr>
          <w:b/>
          <w:color w:val="374151"/>
          <w:sz w:val="22"/>
        </w:rPr>
        <w:t>2.3 关联关系</w:t>
      </w:r>
    </w:p>
    <w:p>
      <w:pPr>
        <w:ind w:left="454"/>
      </w:pPr>
      <w:r>
        <w:rPr>
          <w:rFonts w:ascii="Courier New" w:hAnsi="Courier New"/>
          <w:color w:val="1E406E"/>
          <w:sz w:val="17"/>
        </w:rPr>
        <w:t>物流入库单 → 业务入库单（库存形成）→ 采购合同（履约跟踪）</w:t>
        <w:br/>
      </w:r>
    </w:p>
    <w:p>
      <w:pPr>
        <w:ind w:left="454" w:right="454"/>
        <w:shd w:val="clear" w:fill="EFF6FF"/>
      </w:pPr>
      <w:r>
        <w:rPr>
          <w:color w:val="1E40AF"/>
          <w:sz w:val="19"/>
        </w:rPr>
      </w:r>
      <w:r>
        <w:rPr>
          <w:b/>
          <w:color w:val="1E40AF"/>
          <w:sz w:val="19"/>
        </w:rPr>
        <w:t>注意</w:t>
      </w:r>
      <w:r>
        <w:rPr>
          <w:color w:val="1E40AF"/>
          <w:sz w:val="19"/>
        </w:rPr>
        <w:t>：物流入库单确认后，通知仓储库管创建业务入库单，库存正式形成并开始批次成本计算。</w:t>
      </w:r>
    </w:p>
    <w:p>
      <w:pPr>
        <w:pBdr>
          <w:bottom w:val="single" w:sz="4" w:space="1" w:color="C7D2FE"/>
        </w:pBdr>
      </w:pPr>
    </w:p>
    <w:p>
      <w:pPr>
        <w:pStyle w:val="Heading3"/>
      </w:pPr>
      <w:r>
        <w:rPr>
          <w:b/>
          <w:color w:val="2563EB"/>
          <w:sz w:val="26"/>
        </w:rPr>
        <w:t>三、物流出库单（销售发货确认）</w:t>
      </w:r>
    </w:p>
    <w:p>
      <w:pPr>
        <w:pStyle w:val="Heading4"/>
      </w:pPr>
      <w:r>
        <w:rPr>
          <w:b/>
          <w:color w:val="374151"/>
          <w:sz w:val="22"/>
        </w:rPr>
        <w:t>3.1 核心场景</w:t>
      </w:r>
    </w:p>
    <w:p>
      <w:r>
        <w:rPr>
          <w:sz w:val="20"/>
        </w:rPr>
      </w:r>
      <w:r>
        <w:rPr>
          <w:b/>
          <w:sz w:val="20"/>
        </w:rPr>
        <w:t>场景一：常规销售出库</w:t>
      </w:r>
      <w:r>
        <w:rPr>
          <w:sz w:val="20"/>
        </w:rPr>
      </w:r>
    </w:p>
    <w:p>
      <w:pPr>
        <w:ind w:left="454"/>
      </w:pPr>
      <w:r>
        <w:rPr>
          <w:rFonts w:ascii="Courier New" w:hAnsi="Courier New"/>
          <w:color w:val="1E406E"/>
          <w:sz w:val="17"/>
        </w:rPr>
        <w:t>销售提单 → 物流出库单 → 过磅出库 → 库存扣减</w:t>
        <w:br/>
      </w:r>
    </w:p>
    <w:p>
      <w:r>
        <w:rPr>
          <w:sz w:val="20"/>
        </w:rPr>
      </w:r>
      <w:r>
        <w:rPr>
          <w:b/>
          <w:sz w:val="20"/>
        </w:rPr>
        <w:t>场景二：以销定采直拨</w:t>
      </w:r>
      <w:r>
        <w:rPr>
          <w:sz w:val="20"/>
        </w:rPr>
      </w:r>
    </w:p>
    <w:p>
      <w:pPr>
        <w:ind w:left="454"/>
      </w:pPr>
      <w:r>
        <w:rPr>
          <w:rFonts w:ascii="Courier New" w:hAnsi="Courier New"/>
          <w:color w:val="1E406E"/>
          <w:sz w:val="17"/>
        </w:rPr>
        <w:t>供应商直接发货给客户（不经过我方仓库）</w:t>
        <w:br/>
      </w:r>
      <w:r>
        <w:rPr>
          <w:rFonts w:ascii="Courier New" w:hAnsi="Courier New"/>
          <w:color w:val="1E406E"/>
          <w:sz w:val="17"/>
        </w:rPr>
        <w:t>→ 系统自动反向生成物流入库单（补完入库流程）</w:t>
        <w:br/>
      </w:r>
      <w:r>
        <w:rPr>
          <w:rFonts w:ascii="Courier New" w:hAnsi="Courier New"/>
          <w:color w:val="1E406E"/>
          <w:sz w:val="17"/>
        </w:rPr>
        <w:t>→ 下游确认收货后关联上游合同完成入库，再完成出库</w:t>
        <w:br/>
      </w:r>
    </w:p>
    <w:p>
      <w:r>
        <w:rPr>
          <w:sz w:val="20"/>
        </w:rPr>
      </w:r>
      <w:r>
        <w:rPr>
          <w:b/>
          <w:sz w:val="20"/>
        </w:rPr>
        <w:t>场景三：退货处理</w:t>
      </w:r>
      <w:r>
        <w:rPr>
          <w:sz w:val="20"/>
        </w:rPr>
      </w:r>
    </w:p>
    <w:p>
      <w:pPr>
        <w:ind w:left="454"/>
      </w:pPr>
      <w:r>
        <w:rPr>
          <w:rFonts w:ascii="Courier New" w:hAnsi="Courier New"/>
          <w:color w:val="1E406E"/>
          <w:sz w:val="17"/>
        </w:rPr>
        <w:t>支持销售退货和采购退货的逆向物流流程</w:t>
        <w:br/>
      </w:r>
    </w:p>
    <w:p>
      <w:pPr>
        <w:pBdr>
          <w:bottom w:val="single" w:sz="4" w:space="1" w:color="C7D2FE"/>
        </w:pBdr>
      </w:pPr>
    </w:p>
    <w:p>
      <w:pPr>
        <w:pStyle w:val="Heading3"/>
      </w:pPr>
      <w:r>
        <w:rPr>
          <w:b/>
          <w:color w:val="2563EB"/>
          <w:sz w:val="26"/>
        </w:rPr>
        <w:t>四、叫车派车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功能</w:t>
            </w:r>
          </w:p>
        </w:tc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发布运力需求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根据发货指令/提单发布本次运输的车辆需求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车辆调度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从车辆主数据选择可用车辆，指派司机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自有/第三方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支持自有车辆和第三方物流公司车辆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车辆报备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车辆信息提前报备，用于地磅过磅关联</w:t>
            </w:r>
          </w:p>
        </w:tc>
      </w:tr>
    </w:tbl>
    <w:p/>
    <w:p>
      <w:pPr>
        <w:pBdr>
          <w:bottom w:val="single" w:sz="4" w:space="1" w:color="C7D2FE"/>
        </w:pBdr>
      </w:pPr>
    </w:p>
    <w:p>
      <w:pPr>
        <w:pStyle w:val="Heading3"/>
      </w:pPr>
      <w:r>
        <w:rPr>
          <w:b/>
          <w:color w:val="2563EB"/>
          <w:sz w:val="26"/>
        </w:rPr>
        <w:t>五、运费核算与承运商结算</w:t>
      </w:r>
    </w:p>
    <w:p>
      <w:r>
        <w:rPr>
          <w:sz w:val="20"/>
        </w:rPr>
      </w:r>
      <w:r>
        <w:rPr>
          <w:b/>
          <w:sz w:val="20"/>
        </w:rPr>
        <w:t>优先级：P1</w:t>
      </w:r>
      <w:r>
        <w:rPr>
          <w:sz w:val="2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功能</w:t>
            </w:r>
          </w:p>
        </w:tc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运费核算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按运价协议（按车次/按吨/按吨公里）核算运费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运费归集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按公司/部门拆分归集运费，喂给成本核价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承运商对账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汇总当期运单，与承运商对账运费明细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结算单生成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对账完成后生成承运商运费结算单</w:t>
            </w:r>
          </w:p>
        </w:tc>
      </w:tr>
    </w:tbl>
    <w:p/>
    <w:p>
      <w:pPr>
        <w:ind w:left="454" w:right="454"/>
        <w:shd w:val="clear" w:fill="EFF6FF"/>
      </w:pPr>
      <w:r>
        <w:rPr>
          <w:color w:val="1E40AF"/>
          <w:sz w:val="19"/>
        </w:rPr>
      </w:r>
      <w:r>
        <w:rPr>
          <w:b/>
          <w:color w:val="1E40AF"/>
          <w:sz w:val="19"/>
        </w:rPr>
        <w:t>重要</w:t>
      </w:r>
      <w:r>
        <w:rPr>
          <w:color w:val="1E40AF"/>
          <w:sz w:val="19"/>
        </w:rPr>
        <w:t>：物流结算（运费，结给承运商）与采销结算（货款，结给供应商/收自客户）完全分离，分别走独立的结算流程。</w:t>
      </w:r>
    </w:p>
    <w:p>
      <w:pPr>
        <w:pBdr>
          <w:bottom w:val="single" w:sz="4" w:space="1" w:color="C7D2FE"/>
        </w:pBdr>
      </w:pPr>
    </w:p>
    <w:p>
      <w:pPr>
        <w:pStyle w:val="Heading3"/>
      </w:pPr>
      <w:r>
        <w:rPr>
          <w:b/>
          <w:color w:val="2563EB"/>
          <w:sz w:val="26"/>
        </w:rPr>
        <w:t>六、在途监控</w:t>
      </w:r>
    </w:p>
    <w:p>
      <w:r>
        <w:rPr>
          <w:sz w:val="20"/>
        </w:rPr>
      </w:r>
      <w:r>
        <w:rPr>
          <w:b/>
          <w:sz w:val="20"/>
        </w:rPr>
        <w:t>优先级：P1</w:t>
      </w:r>
      <w:r>
        <w:rPr>
          <w:sz w:val="2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功能</w:t>
            </w:r>
          </w:p>
        </w:tc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轨迹跟踪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对接第三方物流平台，获取GPS/北斗实时位置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电子围栏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车辆进入厂区围栏时，自动推送"待收货预警"给现场人员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超时预警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超过预设时间未到达时触发告警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偏航预警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偏离既定路线超过阈值时触发告警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异常停留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非计划停留超时触发预警</w:t>
            </w:r>
          </w:p>
        </w:tc>
      </w:tr>
    </w:tbl>
    <w:p/>
    <w:p>
      <w:pPr>
        <w:ind w:left="454" w:right="454"/>
        <w:shd w:val="clear" w:fill="EFF6FF"/>
      </w:pPr>
      <w:r>
        <w:rPr>
          <w:color w:val="1E40AF"/>
          <w:sz w:val="19"/>
        </w:rPr>
      </w:r>
      <w:r>
        <w:rPr>
          <w:b/>
          <w:color w:val="1E40AF"/>
          <w:sz w:val="19"/>
        </w:rPr>
        <w:t>一期说明</w:t>
      </w:r>
      <w:r>
        <w:rPr>
          <w:color w:val="1E40AF"/>
          <w:sz w:val="19"/>
        </w:rPr>
        <w:t>：在途监控依赖对接第三方物流平台，由物流供应商提供轨迹数据支持。</w:t>
      </w:r>
    </w:p>
    <w:p>
      <w:pPr>
        <w:pBdr>
          <w:bottom w:val="single" w:sz="4" w:space="1" w:color="C7D2FE"/>
        </w:pBdr>
      </w:pPr>
    </w:p>
    <w:p>
      <w:pPr>
        <w:pStyle w:val="Heading3"/>
      </w:pPr>
      <w:r>
        <w:rPr>
          <w:b/>
          <w:color w:val="2563EB"/>
          <w:sz w:val="26"/>
        </w:rPr>
        <w:t>七、物流报表</w:t>
      </w:r>
    </w:p>
    <w:p>
      <w:r>
        <w:rPr>
          <w:sz w:val="20"/>
        </w:rPr>
      </w:r>
      <w:r>
        <w:rPr>
          <w:b/>
          <w:sz w:val="20"/>
        </w:rPr>
        <w:t>优先级：P2</w:t>
      </w:r>
      <w:r>
        <w:rPr>
          <w:sz w:val="20"/>
        </w:rPr>
      </w:r>
    </w:p>
    <w:p>
      <w:r>
        <w:rPr>
          <w:sz w:val="20"/>
        </w:rPr>
        <w:t>每月自动生成以下报表供财务使用：</w:t>
      </w:r>
    </w:p>
    <w:p>
      <w:pPr>
        <w:pStyle w:val="ListBullet"/>
        <w:ind w:left="283"/>
      </w:pPr>
      <w:r>
        <w:rPr>
          <w:sz w:val="20"/>
        </w:rPr>
        <w:t>运输台账（车次、里程、运费、签收状态一览）</w:t>
      </w:r>
    </w:p>
    <w:p>
      <w:pPr>
        <w:pStyle w:val="ListBullet"/>
        <w:ind w:left="283"/>
      </w:pPr>
      <w:r>
        <w:rPr>
          <w:sz w:val="20"/>
        </w:rPr>
        <w:t>运费汇总（按承运商/路线/期间汇总）</w:t>
      </w:r>
    </w:p>
    <w:p>
      <w:pPr>
        <w:pStyle w:val="ListBullet"/>
        <w:ind w:left="283"/>
      </w:pPr>
      <w:r>
        <w:rPr>
          <w:sz w:val="20"/>
        </w:rPr>
        <w:t>承运商业绩（准时率、异常次数等）</w:t>
      </w:r>
    </w:p>
    <w:p>
      <w:pPr>
        <w:pBdr>
          <w:bottom w:val="single" w:sz="4" w:space="1" w:color="C7D2FE"/>
        </w:pBdr>
      </w:pPr>
    </w:p>
    <w:p>
      <w:pPr>
        <w:pStyle w:val="Heading2"/>
      </w:pPr>
      <w:r>
        <w:rPr>
          <w:b/>
          <w:color w:val="1E4D8C"/>
          <w:sz w:val="32"/>
        </w:rPr>
        <w:t>完整操作流程</w:t>
      </w:r>
    </w:p>
    <w:p>
      <w:r>
        <w:rPr>
          <w:sz w:val="20"/>
        </w:rPr>
      </w:r>
      <w:r>
        <w:rPr>
          <w:b/>
          <w:sz w:val="20"/>
        </w:rPr>
        <w:t>采购入库运输标准流程</w:t>
      </w:r>
      <w:r>
        <w:rPr>
          <w:sz w:val="20"/>
        </w:rPr>
        <w:t>：</w:t>
      </w:r>
    </w:p>
    <w:p>
      <w:pPr>
        <w:ind w:left="454"/>
      </w:pPr>
      <w:r>
        <w:rPr>
          <w:rFonts w:ascii="Courier New" w:hAnsi="Courier New"/>
          <w:color w:val="1E406E"/>
          <w:sz w:val="17"/>
        </w:rPr>
        <w:t>① 接收采销系统的供应商发货指令</w:t>
        <w:br/>
      </w:r>
      <w:r>
        <w:rPr>
          <w:rFonts w:ascii="Courier New" w:hAnsi="Courier New"/>
          <w:color w:val="1E406E"/>
          <w:sz w:val="17"/>
        </w:rPr>
        <w:t>② 创建物流运单（关联发货指令）</w:t>
        <w:br/>
      </w:r>
      <w:r>
        <w:rPr>
          <w:rFonts w:ascii="Courier New" w:hAnsi="Courier New"/>
          <w:color w:val="1E406E"/>
          <w:sz w:val="17"/>
        </w:rPr>
        <w:t>③ 叫车派车（选择承运商/车辆/司机）</w:t>
        <w:br/>
      </w:r>
      <w:r>
        <w:rPr>
          <w:rFonts w:ascii="Courier New" w:hAnsi="Courier New"/>
          <w:color w:val="1E406E"/>
          <w:sz w:val="17"/>
        </w:rPr>
        <w:t>④ 在途跟踪（监控轨迹；异常预警）</w:t>
        <w:br/>
      </w:r>
      <w:r>
        <w:rPr>
          <w:rFonts w:ascii="Courier New" w:hAnsi="Courier New"/>
          <w:color w:val="1E406E"/>
          <w:sz w:val="17"/>
        </w:rPr>
        <w:t>⑤ 车辆到厂（电子围栏触发预警通知现场）</w:t>
        <w:br/>
      </w:r>
      <w:r>
        <w:rPr>
          <w:rFonts w:ascii="Courier New" w:hAnsi="Courier New"/>
          <w:color w:val="1E406E"/>
          <w:sz w:val="17"/>
        </w:rPr>
        <w:t>⑥ 地磅过磅（现场一线操作，数据回流物流运单）</w:t>
        <w:br/>
      </w:r>
      <w:r>
        <w:rPr>
          <w:rFonts w:ascii="Courier New" w:hAnsi="Courier New"/>
          <w:color w:val="1E406E"/>
          <w:sz w:val="17"/>
        </w:rPr>
        <w:t>⑦ 创建物流入库单（关联运单+磅单，确认到货数量）</w:t>
        <w:br/>
      </w:r>
      <w:r>
        <w:rPr>
          <w:rFonts w:ascii="Courier New" w:hAnsi="Courier New"/>
          <w:color w:val="1E406E"/>
          <w:sz w:val="17"/>
        </w:rPr>
        <w:t>⑧ 通知仓储库管创建业务入库单（库存正式形成）</w:t>
        <w:br/>
      </w:r>
      <w:r>
        <w:rPr>
          <w:rFonts w:ascii="Courier New" w:hAnsi="Courier New"/>
          <w:color w:val="1E406E"/>
          <w:sz w:val="17"/>
        </w:rPr>
        <w:t>⑨ 运输完成 → 运费核算 → 与承运商对账 → 生成运费结算单</w:t>
        <w:br/>
      </w:r>
    </w:p>
    <w:p>
      <w:r>
        <w:rPr>
          <w:sz w:val="20"/>
        </w:rPr>
      </w:r>
      <w:r>
        <w:rPr>
          <w:b/>
          <w:sz w:val="20"/>
        </w:rPr>
        <w:t>销售出库运输标准流程</w:t>
      </w:r>
      <w:r>
        <w:rPr>
          <w:sz w:val="20"/>
        </w:rPr>
        <w:t>：</w:t>
      </w:r>
    </w:p>
    <w:p>
      <w:pPr>
        <w:ind w:left="454"/>
      </w:pPr>
      <w:r>
        <w:rPr>
          <w:rFonts w:ascii="Courier New" w:hAnsi="Courier New"/>
          <w:color w:val="1E406E"/>
          <w:sz w:val="17"/>
        </w:rPr>
        <w:t>① 接收采销系统的销售提单/发货通知单</w:t>
        <w:br/>
      </w:r>
      <w:r>
        <w:rPr>
          <w:rFonts w:ascii="Courier New" w:hAnsi="Courier New"/>
          <w:color w:val="1E406E"/>
          <w:sz w:val="17"/>
        </w:rPr>
        <w:t>② 创建物流出库运单（关联提单）</w:t>
        <w:br/>
      </w:r>
      <w:r>
        <w:rPr>
          <w:rFonts w:ascii="Courier New" w:hAnsi="Courier New"/>
          <w:color w:val="1E406E"/>
          <w:sz w:val="17"/>
        </w:rPr>
        <w:t>③ 叫车派车</w:t>
        <w:br/>
      </w:r>
      <w:r>
        <w:rPr>
          <w:rFonts w:ascii="Courier New" w:hAnsi="Courier New"/>
          <w:color w:val="1E406E"/>
          <w:sz w:val="17"/>
        </w:rPr>
        <w:t>④ 仓储库管备货/拣货</w:t>
        <w:br/>
      </w:r>
      <w:r>
        <w:rPr>
          <w:rFonts w:ascii="Courier New" w:hAnsi="Courier New"/>
          <w:color w:val="1E406E"/>
          <w:sz w:val="17"/>
        </w:rPr>
        <w:t>⑤ 过磅出库（地磅数据确认出库数量）</w:t>
        <w:br/>
      </w:r>
      <w:r>
        <w:rPr>
          <w:rFonts w:ascii="Courier New" w:hAnsi="Courier New"/>
          <w:color w:val="1E406E"/>
          <w:sz w:val="17"/>
        </w:rPr>
        <w:t>⑥ 创建物流出库单（库存扣减）</w:t>
        <w:br/>
      </w:r>
      <w:r>
        <w:rPr>
          <w:rFonts w:ascii="Courier New" w:hAnsi="Courier New"/>
          <w:color w:val="1E406E"/>
          <w:sz w:val="17"/>
        </w:rPr>
        <w:t>⑦ 客户签收 → 回单归档</w:t>
        <w:br/>
      </w:r>
    </w:p>
    <w:p>
      <w:pPr>
        <w:pBdr>
          <w:bottom w:val="single" w:sz="4" w:space="1" w:color="C7D2FE"/>
        </w:pBdr>
      </w:pPr>
    </w:p>
    <w:p>
      <w:pPr>
        <w:pStyle w:val="Heading2"/>
      </w:pPr>
      <w:r>
        <w:rPr>
          <w:b/>
          <w:color w:val="1E4D8C"/>
          <w:sz w:val="32"/>
        </w:rPr>
        <w:t>下游任务流：你的操作触发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下游角色</w:t>
            </w:r>
          </w:p>
        </w:tc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触发事项</w:t>
            </w:r>
          </w:p>
        </w:tc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现场一线（地磅）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车辆进厂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电子围栏推送预警，现场准备过磅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仓储库管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物流入库单确认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通知库管创建业务入库单，批次进库存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仓储库管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物流出库单确认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库存扣减，出库完成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财务结算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运费结算单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运费数据归集到成本核价</w:t>
            </w:r>
          </w:p>
        </w:tc>
      </w:tr>
    </w:tbl>
    <w:p/>
    <w:p>
      <w:pPr>
        <w:pBdr>
          <w:bottom w:val="single" w:sz="4" w:space="1" w:color="C7D2FE"/>
        </w:pBdr>
      </w:pPr>
    </w:p>
    <w:p>
      <w:pPr>
        <w:pStyle w:val="Heading2"/>
      </w:pPr>
      <w:r>
        <w:rPr>
          <w:b/>
          <w:color w:val="1E4D8C"/>
          <w:sz w:val="32"/>
        </w:rPr>
        <w:t>模块关联关系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关联模块</w:t>
            </w:r>
          </w:p>
        </w:tc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关系说明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采销系统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接收发货指令/提单；运费回流成本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库存管理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到货触发入库；发货触发出库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地磅管理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进出场过磅数据关联运单/车辆，是数量确认依据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监控录像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到货/卸货影像关联车次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主数据管理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车辆、承运商、路线取自主数据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财务结算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运费、里程喂给成本核价和损耗评估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