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1A365D"/>
          <w:sz w:val="40"/>
        </w:rPr>
        <w:t>矿产供应链运营管理系统</w:t>
      </w:r>
    </w:p>
    <w:p>
      <w:pPr>
        <w:pStyle w:val="Heading2"/>
      </w:pPr>
      <w:r>
        <w:rPr>
          <w:b/>
          <w:color w:val="1E4D8C"/>
          <w:sz w:val="32"/>
        </w:rPr>
        <w:t>07 运营管理者 · 工作台</w:t>
      </w:r>
    </w:p>
    <w:p>
      <w:pPr>
        <w:pBdr>
          <w:bottom w:val="single" w:sz="4" w:space="1" w:color="C7D2FE"/>
        </w:pBdr>
      </w:pPr>
    </w:p>
    <w:p>
      <w:pPr>
        <w:pStyle w:val="Heading2"/>
      </w:pPr>
      <w:r>
        <w:rPr>
          <w:b/>
          <w:color w:val="1E4D8C"/>
          <w:sz w:val="32"/>
        </w:rPr>
        <w:t>角色定位</w:t>
      </w:r>
    </w:p>
    <w:p>
      <w:r>
        <w:rPr>
          <w:sz w:val="20"/>
        </w:rPr>
        <w:t>运营管理者是</w:t>
      </w:r>
      <w:r>
        <w:rPr>
          <w:b/>
          <w:sz w:val="20"/>
        </w:rPr>
        <w:t>业务全局的监控者与决策者</w:t>
      </w:r>
      <w:r>
        <w:rPr>
          <w:sz w:val="20"/>
        </w:rPr>
        <w:t>，通过工作台聚合各模块的待办事项、业务状态、关键预警，以审批、监控和调度的方式推动整体业务运转。工作台是所有其他角色模块数据汇聚的"控制中心"。</w:t>
      </w:r>
    </w:p>
    <w:p>
      <w:pPr>
        <w:ind w:left="454" w:right="454"/>
        <w:shd w:val="clear" w:fill="EFF6FF"/>
      </w:pPr>
      <w:r>
        <w:rPr>
          <w:color w:val="1E40AF"/>
          <w:sz w:val="19"/>
        </w:rPr>
      </w:r>
      <w:r>
        <w:rPr>
          <w:b/>
          <w:color w:val="1E40AF"/>
          <w:sz w:val="19"/>
        </w:rPr>
        <w:t>典型岗位</w:t>
      </w:r>
      <w:r>
        <w:rPr>
          <w:color w:val="1E40AF"/>
          <w:sz w:val="19"/>
        </w:rPr>
        <w:t>：业务负责人、综合内勤（如陈飞祥、黄蕾，以及需要全局视角的管理人员）</w:t>
      </w:r>
    </w:p>
    <w:p>
      <w:pPr>
        <w:pBdr>
          <w:bottom w:val="single" w:sz="4" w:space="1" w:color="C7D2FE"/>
        </w:pBdr>
      </w:pPr>
    </w:p>
    <w:p>
      <w:pPr>
        <w:pStyle w:val="Heading2"/>
      </w:pPr>
      <w:r>
        <w:rPr>
          <w:b/>
          <w:color w:val="1E4D8C"/>
          <w:sz w:val="32"/>
        </w:rPr>
        <w:t>业务链位置</w:t>
      </w:r>
    </w:p>
    <w:p>
      <w:pPr>
        <w:ind w:left="454"/>
      </w:pPr>
      <w:r>
        <w:rPr>
          <w:rFonts w:ascii="Courier New" w:hAnsi="Courier New"/>
          <w:color w:val="1E406E"/>
          <w:sz w:val="17"/>
        </w:rPr>
        <w:t>采销业务员 · 物流运营 · 现场一线 · 仓储库管 · 财务结算</w:t>
        <w:br/>
      </w:r>
      <w:r>
        <w:rPr>
          <w:rFonts w:ascii="Courier New" w:hAnsi="Courier New"/>
          <w:color w:val="1E406E"/>
          <w:sz w:val="17"/>
        </w:rPr>
        <w:t xml:space="preserve">          ↓（所有模块数据汇聚）</w:t>
        <w:br/>
      </w:r>
      <w:r>
        <w:rPr>
          <w:rFonts w:ascii="Courier New" w:hAnsi="Courier New"/>
          <w:color w:val="1E406E"/>
          <w:sz w:val="17"/>
        </w:rPr>
        <w:t>【运营管理者 · 工作台】← 你在这里</w:t>
        <w:br/>
      </w:r>
      <w:r>
        <w:rPr>
          <w:rFonts w:ascii="Courier New" w:hAnsi="Courier New"/>
          <w:color w:val="1E406E"/>
          <w:sz w:val="17"/>
        </w:rPr>
        <w:t xml:space="preserve">          ↓（审批决策、异常处置）</w:t>
        <w:br/>
      </w:r>
      <w:r>
        <w:rPr>
          <w:rFonts w:ascii="Courier New" w:hAnsi="Courier New"/>
          <w:color w:val="1E406E"/>
          <w:sz w:val="17"/>
        </w:rPr>
        <w:t xml:space="preserve">  各模块执行层（推动业务继续流转）</w:t>
        <w:br/>
      </w:r>
    </w:p>
    <w:p>
      <w:r>
        <w:rPr>
          <w:sz w:val="20"/>
        </w:rPr>
        <w:t>工作台本身不产生业务数据，而是</w:t>
      </w:r>
      <w:r>
        <w:rPr>
          <w:b/>
          <w:sz w:val="20"/>
        </w:rPr>
        <w:t>汇聚</w:t>
      </w:r>
      <w:r>
        <w:rPr>
          <w:sz w:val="20"/>
        </w:rPr>
        <w:t>各模块数据并</w:t>
      </w:r>
      <w:r>
        <w:rPr>
          <w:b/>
          <w:sz w:val="20"/>
        </w:rPr>
        <w:t>推动</w:t>
      </w:r>
      <w:r>
        <w:rPr>
          <w:sz w:val="20"/>
        </w:rPr>
        <w:t>业务的及时流转。</w:t>
      </w:r>
    </w:p>
    <w:p>
      <w:pPr>
        <w:pBdr>
          <w:bottom w:val="single" w:sz="4" w:space="1" w:color="C7D2FE"/>
        </w:pBdr>
      </w:pPr>
    </w:p>
    <w:p>
      <w:pPr>
        <w:pStyle w:val="Heading2"/>
      </w:pPr>
      <w:r>
        <w:rPr>
          <w:b/>
          <w:color w:val="1E4D8C"/>
          <w:sz w:val="32"/>
        </w:rPr>
        <w:t>核心功能模块</w:t>
      </w:r>
    </w:p>
    <w:p>
      <w:pPr>
        <w:pStyle w:val="Heading3"/>
      </w:pPr>
      <w:r>
        <w:rPr>
          <w:b/>
          <w:color w:val="2563EB"/>
          <w:sz w:val="26"/>
        </w:rPr>
        <w:t>一、待办事项</w:t>
      </w:r>
    </w:p>
    <w:p>
      <w:r>
        <w:rPr>
          <w:sz w:val="20"/>
        </w:rPr>
        <w:t>聚合当前用户的</w:t>
      </w:r>
      <w:r>
        <w:rPr>
          <w:b/>
          <w:sz w:val="20"/>
        </w:rPr>
        <w:t>全部待审批、待处理任务</w:t>
      </w:r>
      <w:r>
        <w:rPr>
          <w:sz w:val="20"/>
        </w:rPr>
        <w:t>，避免在各模块间来回切换查找待办。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929"/>
            <w:shd w:val="clear" w:color="auto" w:fill="DBEAFE"/>
          </w:tcPr>
          <w:p>
            <w:r>
              <w:rPr>
                <w:b/>
                <w:sz w:val="18"/>
              </w:rPr>
              <w:t>待办类型</w:t>
            </w:r>
          </w:p>
        </w:tc>
        <w:tc>
          <w:tcPr>
            <w:tcW w:type="dxa" w:w="2929"/>
            <w:shd w:val="clear" w:color="auto" w:fill="DBEAFE"/>
          </w:tcPr>
          <w:p>
            <w:r>
              <w:rPr>
                <w:b/>
                <w:sz w:val="18"/>
              </w:rPr>
              <w:t>来源模块</w:t>
            </w:r>
          </w:p>
        </w:tc>
        <w:tc>
          <w:tcPr>
            <w:tcW w:type="dxa" w:w="2929"/>
            <w:shd w:val="clear" w:color="auto" w:fill="DBEAFE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待审批合同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采销系统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采购合同/销售合同/双边合同等待审批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待审批付款申请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资金付款管理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付款申请等待管理者审批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待处理质检熔断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质检化验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质检熔断事件，需人工介入处置（折价/退货）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待处理磅差异常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地磅管理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磅差超阈值锁单，等待核实和定责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待确认收货数据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现场/采销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现场数据汇总后等待负责人确认"数据无误"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待发起结算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采销系统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收货确认后，等待启动结算流程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合同即将到期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采销系统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合同履约截止日前预警，需跟进执行进度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额度预警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采销系统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往来单位额度使用率超阈值，需关注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逾期付款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资金付款管理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应付账款超过约定付款日未付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逾期回款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资金付款管理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应收账款超过约定收款日未收</w:t>
            </w:r>
          </w:p>
        </w:tc>
      </w:tr>
    </w:tbl>
    <w:p/>
    <w:p>
      <w:r>
        <w:rPr>
          <w:sz w:val="20"/>
        </w:rPr>
      </w:r>
      <w:r>
        <w:rPr>
          <w:b/>
          <w:sz w:val="20"/>
        </w:rPr>
        <w:t>操作支持</w:t>
      </w:r>
      <w:r>
        <w:rPr>
          <w:sz w:val="20"/>
        </w:rPr>
        <w:t>：</w:t>
      </w:r>
    </w:p>
    <w:p>
      <w:pPr>
        <w:pStyle w:val="ListBullet"/>
        <w:ind w:left="283"/>
      </w:pPr>
      <w:r>
        <w:rPr>
          <w:sz w:val="20"/>
        </w:rPr>
        <w:t>按待办类型筛选</w:t>
      </w:r>
    </w:p>
    <w:p>
      <w:pPr>
        <w:pStyle w:val="ListBullet"/>
        <w:ind w:left="283"/>
      </w:pPr>
      <w:r>
        <w:rPr>
          <w:sz w:val="20"/>
        </w:rPr>
        <w:t>点击待办直接跳转到对应单据详情</w:t>
      </w:r>
    </w:p>
    <w:p>
      <w:pPr>
        <w:pStyle w:val="ListBullet"/>
        <w:ind w:left="283"/>
      </w:pPr>
      <w:r>
        <w:rPr>
          <w:sz w:val="20"/>
        </w:rPr>
        <w:t>批量处理（同类型多条审批）</w:t>
      </w:r>
    </w:p>
    <w:p>
      <w:pPr>
        <w:pBdr>
          <w:bottom w:val="single" w:sz="4" w:space="1" w:color="C7D2FE"/>
        </w:pBdr>
      </w:pPr>
    </w:p>
    <w:p>
      <w:pPr>
        <w:pStyle w:val="Heading3"/>
      </w:pPr>
      <w:r>
        <w:rPr>
          <w:b/>
          <w:color w:val="2563EB"/>
          <w:sz w:val="26"/>
        </w:rPr>
        <w:t>二、业务概览</w:t>
      </w:r>
    </w:p>
    <w:p>
      <w:r>
        <w:rPr>
          <w:sz w:val="20"/>
        </w:rPr>
        <w:t>关键业务指标的</w:t>
      </w:r>
      <w:r>
        <w:rPr>
          <w:b/>
          <w:sz w:val="20"/>
        </w:rPr>
        <w:t>图表化实时展示</w:t>
      </w:r>
      <w:r>
        <w:rPr>
          <w:sz w:val="20"/>
        </w:rPr>
        <w:t>，帮助管理者快速把握整体运营状态。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929"/>
            <w:shd w:val="clear" w:color="auto" w:fill="DBEAFE"/>
          </w:tcPr>
          <w:p>
            <w:r>
              <w:rPr>
                <w:b/>
                <w:sz w:val="18"/>
              </w:rPr>
              <w:t>概览模块</w:t>
            </w:r>
          </w:p>
        </w:tc>
        <w:tc>
          <w:tcPr>
            <w:tcW w:type="dxa" w:w="2929"/>
            <w:shd w:val="clear" w:color="auto" w:fill="DBEAFE"/>
          </w:tcPr>
          <w:p>
            <w:r>
              <w:rPr>
                <w:b/>
                <w:sz w:val="18"/>
              </w:rPr>
              <w:t>展示内容</w:t>
            </w:r>
          </w:p>
        </w:tc>
        <w:tc>
          <w:tcPr>
            <w:tcW w:type="dxa" w:w="2929"/>
            <w:shd w:val="clear" w:color="auto" w:fill="DBEAFE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合同执行情况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本期合同数/执行率/逾期率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采购/销售合同分别展示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在途货物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在途车次数/在途货量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采购入库和销售发货分别展示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库存状况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各物料当前库存量/库龄分布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关注滞销批次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资金占用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各业务线资金占用金额/利息测算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按部门组维度汇总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结算进度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本期待结算/已结算金额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预付款/尾款分别展示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质检合格率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本期化验合格/不合格/熔断数量及比率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识别质量趋势</w:t>
            </w:r>
          </w:p>
        </w:tc>
      </w:tr>
    </w:tbl>
    <w:p/>
    <w:p>
      <w:pPr>
        <w:pBdr>
          <w:bottom w:val="single" w:sz="4" w:space="1" w:color="C7D2FE"/>
        </w:pBdr>
      </w:pPr>
    </w:p>
    <w:p>
      <w:pPr>
        <w:pStyle w:val="Heading3"/>
      </w:pPr>
      <w:r>
        <w:rPr>
          <w:b/>
          <w:color w:val="2563EB"/>
          <w:sz w:val="26"/>
        </w:rPr>
        <w:t>三、预警通知</w:t>
      </w:r>
    </w:p>
    <w:p>
      <w:r>
        <w:rPr>
          <w:sz w:val="20"/>
        </w:rPr>
        <w:t>系统</w:t>
      </w:r>
      <w:r>
        <w:rPr>
          <w:b/>
          <w:sz w:val="20"/>
        </w:rPr>
        <w:t>主动推送</w:t>
      </w:r>
      <w:r>
        <w:rPr>
          <w:sz w:val="20"/>
        </w:rPr>
        <w:t>异常事件和即将到期的任务，无需管理者主动巡检。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929"/>
            <w:shd w:val="clear" w:color="auto" w:fill="DBEAFE"/>
          </w:tcPr>
          <w:p>
            <w:r>
              <w:rPr>
                <w:b/>
                <w:sz w:val="18"/>
              </w:rPr>
              <w:t>预警类型</w:t>
            </w:r>
          </w:p>
        </w:tc>
        <w:tc>
          <w:tcPr>
            <w:tcW w:type="dxa" w:w="2929"/>
            <w:shd w:val="clear" w:color="auto" w:fill="DBEAFE"/>
          </w:tcPr>
          <w:p>
            <w:r>
              <w:rPr>
                <w:b/>
                <w:sz w:val="18"/>
              </w:rPr>
              <w:t>触发条件</w:t>
            </w:r>
          </w:p>
        </w:tc>
        <w:tc>
          <w:tcPr>
            <w:tcW w:type="dxa" w:w="2929"/>
            <w:shd w:val="clear" w:color="auto" w:fill="DBEAFE"/>
          </w:tcPr>
          <w:p>
            <w:r>
              <w:rPr>
                <w:b/>
                <w:sz w:val="18"/>
              </w:rPr>
              <w:t>紧急程度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质检熔断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货物质检结论为熔断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高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磅差异常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进出场磅差超过阈值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高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付款逾期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应付账款超最晚付款日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高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回款逾期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应收账款超最晚收款日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高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额度预警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往来单位可用额度低于阈值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中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合同到期预警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合同履约截止日前N天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中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在途超时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运输超过预计到达时间N小时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中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设备离线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地磅设备离线或数据采集中断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中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库龄预警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批次在库超过N天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低</w:t>
            </w:r>
          </w:p>
        </w:tc>
      </w:tr>
    </w:tbl>
    <w:p/>
    <w:p>
      <w:pPr>
        <w:pBdr>
          <w:bottom w:val="single" w:sz="4" w:space="1" w:color="C7D2FE"/>
        </w:pBdr>
      </w:pPr>
    </w:p>
    <w:p>
      <w:pPr>
        <w:pStyle w:val="Heading3"/>
      </w:pPr>
      <w:r>
        <w:rPr>
          <w:b/>
          <w:color w:val="2563EB"/>
          <w:sz w:val="26"/>
        </w:rPr>
        <w:t>四、快捷入口</w:t>
      </w:r>
    </w:p>
    <w:p>
      <w:r>
        <w:rPr>
          <w:sz w:val="20"/>
        </w:rPr>
        <w:t>常用操作的</w:t>
      </w:r>
      <w:r>
        <w:rPr>
          <w:b/>
          <w:sz w:val="20"/>
        </w:rPr>
        <w:t>一键直达</w:t>
      </w:r>
      <w:r>
        <w:rPr>
          <w:sz w:val="20"/>
        </w:rPr>
        <w:t>，减少菜单层级跳转。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394"/>
            <w:shd w:val="clear" w:color="auto" w:fill="DBEAFE"/>
          </w:tcPr>
          <w:p>
            <w:r>
              <w:rPr>
                <w:b/>
                <w:sz w:val="18"/>
              </w:rPr>
              <w:t>快捷操作</w:t>
            </w:r>
          </w:p>
        </w:tc>
        <w:tc>
          <w:tcPr>
            <w:tcW w:type="dxa" w:w="4394"/>
            <w:shd w:val="clear" w:color="auto" w:fill="DBEAFE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新建合同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快速进入合同录入页面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查询物流在途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直接查看当前在途货物状态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录入磅单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快速跳转磅单上传页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发起结算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从工作台直接发起结算流程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查看资金看板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快速查看当日资金状态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我的审批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快速进入审批待处理列表</w:t>
            </w:r>
          </w:p>
        </w:tc>
      </w:tr>
    </w:tbl>
    <w:p/>
    <w:p>
      <w:pPr>
        <w:pBdr>
          <w:bottom w:val="single" w:sz="4" w:space="1" w:color="C7D2FE"/>
        </w:pBdr>
      </w:pPr>
    </w:p>
    <w:p>
      <w:pPr>
        <w:pStyle w:val="Heading3"/>
      </w:pPr>
      <w:r>
        <w:rPr>
          <w:b/>
          <w:color w:val="2563EB"/>
          <w:sz w:val="26"/>
        </w:rPr>
        <w:t>五、消息中心</w:t>
      </w:r>
    </w:p>
    <w:p>
      <w:r>
        <w:rPr>
          <w:sz w:val="20"/>
        </w:rPr>
      </w:r>
      <w:r>
        <w:rPr>
          <w:b/>
          <w:sz w:val="20"/>
        </w:rPr>
        <w:t>全平台通知汇聚</w:t>
      </w:r>
      <w:r>
        <w:rPr>
          <w:sz w:val="20"/>
        </w:rPr>
        <w:t>，按类型分类管理，不遗漏任何业务消息。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394"/>
            <w:shd w:val="clear" w:color="auto" w:fill="DBEAFE"/>
          </w:tcPr>
          <w:p>
            <w:r>
              <w:rPr>
                <w:b/>
                <w:sz w:val="18"/>
              </w:rPr>
              <w:t>消息类型</w:t>
            </w:r>
          </w:p>
        </w:tc>
        <w:tc>
          <w:tcPr>
            <w:tcW w:type="dxa" w:w="4394"/>
            <w:shd w:val="clear" w:color="auto" w:fill="DBEAFE"/>
          </w:tcPr>
          <w:p>
            <w:r>
              <w:rPr>
                <w:b/>
                <w:sz w:val="18"/>
              </w:rPr>
              <w:t>来源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审批消息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我发起的单据审批结果；需我审批的申请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业务提醒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合同到期、付款到期、结算发起等提醒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异常通知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质检熔断、磅差异常、在途超时等告警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系统通知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主数据变更、系统维护等系统级通知</w:t>
            </w:r>
          </w:p>
        </w:tc>
      </w:tr>
    </w:tbl>
    <w:p/>
    <w:p>
      <w:r>
        <w:rPr>
          <w:sz w:val="20"/>
        </w:rPr>
      </w:r>
      <w:r>
        <w:rPr>
          <w:b/>
          <w:sz w:val="20"/>
        </w:rPr>
        <w:t>支持</w:t>
      </w:r>
      <w:r>
        <w:rPr>
          <w:sz w:val="20"/>
        </w:rPr>
        <w:t>：已读/未读状态管理；按类型筛选；历史消息查询。</w:t>
      </w:r>
    </w:p>
    <w:p>
      <w:pPr>
        <w:pBdr>
          <w:bottom w:val="single" w:sz="4" w:space="1" w:color="C7D2FE"/>
        </w:pBdr>
      </w:pPr>
    </w:p>
    <w:p>
      <w:pPr>
        <w:pStyle w:val="Heading3"/>
      </w:pPr>
      <w:r>
        <w:rPr>
          <w:b/>
          <w:color w:val="2563EB"/>
          <w:sz w:val="26"/>
        </w:rPr>
        <w:t>六、审批管理（运营管理者核心职责）</w:t>
      </w:r>
    </w:p>
    <w:p>
      <w:r>
        <w:rPr>
          <w:sz w:val="20"/>
        </w:rPr>
        <w:t>运营管理者通常是各类业务单据的</w:t>
      </w:r>
      <w:r>
        <w:rPr>
          <w:b/>
          <w:sz w:val="20"/>
        </w:rPr>
        <w:t>审批节点</w:t>
      </w:r>
      <w:r>
        <w:rPr>
          <w:sz w:val="20"/>
        </w:rPr>
        <w:t>，工作台集中展示所有待审批事项。</w:t>
      </w:r>
    </w:p>
    <w:p>
      <w:pPr>
        <w:pStyle w:val="Heading4"/>
      </w:pPr>
      <w:r>
        <w:rPr>
          <w:b/>
          <w:color w:val="374151"/>
          <w:sz w:val="22"/>
        </w:rPr>
        <w:t>主要审批类型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394"/>
            <w:shd w:val="clear" w:color="auto" w:fill="DBEAFE"/>
          </w:tcPr>
          <w:p>
            <w:r>
              <w:rPr>
                <w:b/>
                <w:sz w:val="18"/>
              </w:rPr>
              <w:t>审批单据</w:t>
            </w:r>
          </w:p>
        </w:tc>
        <w:tc>
          <w:tcPr>
            <w:tcW w:type="dxa" w:w="4394"/>
            <w:shd w:val="clear" w:color="auto" w:fill="DBEAFE"/>
          </w:tcPr>
          <w:p>
            <w:r>
              <w:rPr>
                <w:b/>
                <w:sz w:val="18"/>
              </w:rPr>
              <w:t>审批要点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采购/销售合同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交易对手、价格、数量、结算条款是否合理；额度是否充足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双边合同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采销匹配逻辑是否合理；直拨安排是否可行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付款申请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付款依据是否完整；金额是否与结算单一致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库存调拨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调拨原因是否合理；涉及利润中心核算的移库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报损/报溢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差异原因是否合理；是否需要追责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磅差异常处理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偏差原因核实；定责决定</w:t>
            </w:r>
          </w:p>
        </w:tc>
      </w:tr>
    </w:tbl>
    <w:p/>
    <w:p>
      <w:pPr>
        <w:pStyle w:val="Heading4"/>
      </w:pPr>
      <w:r>
        <w:rPr>
          <w:b/>
          <w:color w:val="374151"/>
          <w:sz w:val="22"/>
        </w:rPr>
        <w:t>审批操作建议</w:t>
      </w:r>
    </w:p>
    <w:p>
      <w:pPr>
        <w:pStyle w:val="ListBullet"/>
        <w:ind w:left="283"/>
      </w:pPr>
      <w:r>
        <w:rPr>
          <w:sz w:val="20"/>
        </w:rPr>
        <w:t>审批前先查看关联的原始单据（合同、磅单、质检单、结算单）</w:t>
      </w:r>
    </w:p>
    <w:p>
      <w:pPr>
        <w:pStyle w:val="ListBullet"/>
        <w:ind w:left="283"/>
      </w:pPr>
      <w:r>
        <w:rPr>
          <w:sz w:val="20"/>
        </w:rPr>
        <w:t>重大金额付款须核实银行账户信息与对方一致</w:t>
      </w:r>
    </w:p>
    <w:p>
      <w:pPr>
        <w:pStyle w:val="ListBullet"/>
        <w:ind w:left="283"/>
      </w:pPr>
      <w:r>
        <w:rPr>
          <w:sz w:val="20"/>
        </w:rPr>
        <w:t>质检熔断审批须与采销业务员确认折价/退货方案后再处理</w:t>
      </w:r>
    </w:p>
    <w:p>
      <w:pPr>
        <w:pBdr>
          <w:bottom w:val="single" w:sz="4" w:space="1" w:color="C7D2FE"/>
        </w:pBdr>
      </w:pPr>
    </w:p>
    <w:p>
      <w:pPr>
        <w:pStyle w:val="Heading2"/>
      </w:pPr>
      <w:r>
        <w:rPr>
          <w:b/>
          <w:color w:val="1E4D8C"/>
          <w:sz w:val="32"/>
        </w:rPr>
        <w:t>业务全链路监控</w:t>
      </w:r>
    </w:p>
    <w:p>
      <w:r>
        <w:rPr>
          <w:sz w:val="20"/>
        </w:rPr>
        <w:t>工作台的最高价值是提供一笔业务从合同到结算的</w:t>
      </w:r>
      <w:r>
        <w:rPr>
          <w:b/>
          <w:sz w:val="20"/>
        </w:rPr>
        <w:t>端到端跟踪视图</w:t>
      </w:r>
      <w:r>
        <w:rPr>
          <w:sz w:val="20"/>
        </w:rPr>
        <w:t>。</w:t>
      </w:r>
    </w:p>
    <w:p>
      <w:r>
        <w:rPr>
          <w:sz w:val="20"/>
        </w:rPr>
      </w:r>
      <w:r>
        <w:rPr>
          <w:b/>
          <w:sz w:val="20"/>
        </w:rPr>
        <w:t>一笔采购合同的完整状态追踪</w:t>
      </w:r>
      <w:r>
        <w:rPr>
          <w:sz w:val="20"/>
        </w:rPr>
        <w:t>：</w:t>
      </w:r>
    </w:p>
    <w:p>
      <w:pPr>
        <w:ind w:left="454"/>
      </w:pPr>
      <w:r>
        <w:rPr>
          <w:rFonts w:ascii="Courier New" w:hAnsi="Courier New"/>
          <w:color w:val="1E406E"/>
          <w:sz w:val="17"/>
        </w:rPr>
        <w:t>合同录入（待审批）</w:t>
        <w:br/>
      </w:r>
      <w:r>
        <w:rPr>
          <w:rFonts w:ascii="Courier New" w:hAnsi="Courier New"/>
          <w:color w:val="1E406E"/>
          <w:sz w:val="17"/>
        </w:rPr>
        <w:t xml:space="preserve">    ↓ 审批通过</w:t>
        <w:br/>
      </w:r>
      <w:r>
        <w:rPr>
          <w:rFonts w:ascii="Courier New" w:hAnsi="Courier New"/>
          <w:color w:val="1E406E"/>
          <w:sz w:val="17"/>
        </w:rPr>
        <w:t>合同生效（已生效）</w:t>
        <w:br/>
      </w:r>
      <w:r>
        <w:rPr>
          <w:rFonts w:ascii="Courier New" w:hAnsi="Courier New"/>
          <w:color w:val="1E406E"/>
          <w:sz w:val="17"/>
        </w:rPr>
        <w:t xml:space="preserve">    ↓ 下达发货指令</w:t>
        <w:br/>
      </w:r>
      <w:r>
        <w:rPr>
          <w:rFonts w:ascii="Courier New" w:hAnsi="Courier New"/>
          <w:color w:val="1E406E"/>
          <w:sz w:val="17"/>
        </w:rPr>
        <w:t>发货在途（物流跟踪中）</w:t>
        <w:br/>
      </w:r>
      <w:r>
        <w:rPr>
          <w:rFonts w:ascii="Courier New" w:hAnsi="Courier New"/>
          <w:color w:val="1E406E"/>
          <w:sz w:val="17"/>
        </w:rPr>
        <w:t xml:space="preserve">    ↓ 货物到厂</w:t>
        <w:br/>
      </w:r>
      <w:r>
        <w:rPr>
          <w:rFonts w:ascii="Courier New" w:hAnsi="Courier New"/>
          <w:color w:val="1E406E"/>
          <w:sz w:val="17"/>
        </w:rPr>
        <w:t>过磅质检（数据确认中）</w:t>
        <w:br/>
      </w:r>
      <w:r>
        <w:rPr>
          <w:rFonts w:ascii="Courier New" w:hAnsi="Courier New"/>
          <w:color w:val="1E406E"/>
          <w:sz w:val="17"/>
        </w:rPr>
        <w:t xml:space="preserve">    ↓ 数据确认</w:t>
        <w:br/>
      </w:r>
      <w:r>
        <w:rPr>
          <w:rFonts w:ascii="Courier New" w:hAnsi="Courier New"/>
          <w:color w:val="1E406E"/>
          <w:sz w:val="17"/>
        </w:rPr>
        <w:t>结算发起（待结算）</w:t>
        <w:br/>
      </w:r>
      <w:r>
        <w:rPr>
          <w:rFonts w:ascii="Courier New" w:hAnsi="Courier New"/>
          <w:color w:val="1E406E"/>
          <w:sz w:val="17"/>
        </w:rPr>
        <w:t xml:space="preserve">    ↓ 结算审核</w:t>
        <w:br/>
      </w:r>
      <w:r>
        <w:rPr>
          <w:rFonts w:ascii="Courier New" w:hAnsi="Courier New"/>
          <w:color w:val="1E406E"/>
          <w:sz w:val="17"/>
        </w:rPr>
        <w:t>付款审批（待付款）</w:t>
        <w:br/>
      </w:r>
      <w:r>
        <w:rPr>
          <w:rFonts w:ascii="Courier New" w:hAnsi="Courier New"/>
          <w:color w:val="1E406E"/>
          <w:sz w:val="17"/>
        </w:rPr>
        <w:t xml:space="preserve">    ↓ 付款完成</w:t>
        <w:br/>
      </w:r>
      <w:r>
        <w:rPr>
          <w:rFonts w:ascii="Courier New" w:hAnsi="Courier New"/>
          <w:color w:val="1E406E"/>
          <w:sz w:val="17"/>
        </w:rPr>
        <w:t>发票管理（待开票/已开票）</w:t>
        <w:br/>
      </w:r>
      <w:r>
        <w:rPr>
          <w:rFonts w:ascii="Courier New" w:hAnsi="Courier New"/>
          <w:color w:val="1E406E"/>
          <w:sz w:val="17"/>
        </w:rPr>
        <w:t xml:space="preserve">    ↓ 全部完成</w:t>
        <w:br/>
      </w:r>
      <w:r>
        <w:rPr>
          <w:rFonts w:ascii="Courier New" w:hAnsi="Courier New"/>
          <w:color w:val="1E406E"/>
          <w:sz w:val="17"/>
        </w:rPr>
        <w:t>合同关闭（已归档）</w:t>
        <w:br/>
      </w:r>
    </w:p>
    <w:p>
      <w:r>
        <w:rPr>
          <w:sz w:val="20"/>
        </w:rPr>
        <w:t>每个节点的当前状态在工作台中可一目了然，异常节点有预警标记。</w:t>
      </w:r>
    </w:p>
    <w:p>
      <w:pPr>
        <w:pBdr>
          <w:bottom w:val="single" w:sz="4" w:space="1" w:color="C7D2FE"/>
        </w:pBdr>
      </w:pPr>
    </w:p>
    <w:p>
      <w:pPr>
        <w:pStyle w:val="Heading2"/>
      </w:pPr>
      <w:r>
        <w:rPr>
          <w:b/>
          <w:color w:val="1E4D8C"/>
          <w:sz w:val="32"/>
        </w:rPr>
        <w:t>实现说明</w:t>
      </w:r>
    </w:p>
    <w:p>
      <w:r>
        <w:rPr>
          <w:sz w:val="20"/>
        </w:rPr>
        <w:t>工作台采用</w:t>
      </w:r>
      <w:r>
        <w:rPr>
          <w:b/>
          <w:sz w:val="20"/>
        </w:rPr>
        <w:t>后端逻辑聚合实现</w:t>
      </w:r>
      <w:r>
        <w:rPr>
          <w:sz w:val="20"/>
        </w:rPr>
        <w:t>，不依赖AI Agent：</w:t>
      </w:r>
    </w:p>
    <w:p>
      <w:pPr>
        <w:pStyle w:val="ListBullet"/>
        <w:ind w:left="283"/>
      </w:pPr>
      <w:r>
        <w:rPr>
          <w:sz w:val="20"/>
        </w:rPr>
        <w:t>待办事项：后端SQL/API实时查询各模块待办数据，准确可靠</w:t>
      </w:r>
    </w:p>
    <w:p>
      <w:pPr>
        <w:pStyle w:val="ListBullet"/>
        <w:ind w:left="283"/>
      </w:pPr>
      <w:r>
        <w:rPr>
          <w:sz w:val="20"/>
        </w:rPr>
        <w:t>业务概览：后端统计计算 + 前端图表可视化渲染</w:t>
      </w:r>
    </w:p>
    <w:p>
      <w:pPr>
        <w:pStyle w:val="ListBullet"/>
        <w:ind w:left="283"/>
      </w:pPr>
      <w:r>
        <w:rPr>
          <w:sz w:val="20"/>
        </w:rPr>
        <w:t>预警通知：后端定时任务扫描业务数据 + 消息推送机制</w:t>
      </w:r>
    </w:p>
    <w:p>
      <w:pPr>
        <w:pStyle w:val="ListBullet"/>
        <w:ind w:left="283"/>
      </w:pPr>
      <w:r>
        <w:rPr>
          <w:sz w:val="20"/>
        </w:rPr>
        <w:t>AI辅助（可选）：提供自然语言查询能力（如"本周合同执行异常汇总"），作为辅助层，非核心功能</w:t>
      </w:r>
    </w:p>
    <w:p>
      <w:pPr>
        <w:pBdr>
          <w:bottom w:val="single" w:sz="4" w:space="1" w:color="C7D2FE"/>
        </w:pBdr>
      </w:pPr>
    </w:p>
    <w:p>
      <w:pPr>
        <w:pStyle w:val="Heading2"/>
      </w:pPr>
      <w:r>
        <w:rPr>
          <w:b/>
          <w:color w:val="1E4D8C"/>
          <w:sz w:val="32"/>
        </w:rPr>
        <w:t>二期展望：对外服务入口</w:t>
      </w:r>
    </w:p>
    <w:p>
      <w:r>
        <w:rPr>
          <w:sz w:val="20"/>
        </w:rPr>
        <w:t>二期阶段，工作台将扩展为</w:t>
      </w:r>
      <w:r>
        <w:rPr>
          <w:b/>
          <w:sz w:val="20"/>
        </w:rPr>
        <w:t>合作伙伴门户的入口</w:t>
      </w:r>
      <w:r>
        <w:rPr>
          <w:sz w:val="20"/>
        </w:rPr>
        <w:t>，让外部合作伙伴也能通过对应视图查看与其相关的业务状态：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394"/>
            <w:shd w:val="clear" w:color="auto" w:fill="DBEAFE"/>
          </w:tcPr>
          <w:p>
            <w:r>
              <w:rPr>
                <w:b/>
                <w:sz w:val="18"/>
              </w:rPr>
              <w:t>对外能力</w:t>
            </w:r>
          </w:p>
        </w:tc>
        <w:tc>
          <w:tcPr>
            <w:tcW w:type="dxa" w:w="4394"/>
            <w:shd w:val="clear" w:color="auto" w:fill="DBEAFE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合作伙伴门户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Web后台 + 小程序/企业微信，合作伙伴查看自己的单据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信息主动推送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合同状态、物流轨迹、磅单数据、质检结果主动推送给相关方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数据隔离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按签约主体隔离，合作伙伴只看到与自己相关的数据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资金方穿透查询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资金方（物产/银行）可查看确权数据和货物状态，辅助放款风控</w:t>
            </w:r>
          </w:p>
        </w:tc>
      </w:tr>
    </w:tbl>
    <w:p/>
    <w:p>
      <w:pPr>
        <w:pBdr>
          <w:bottom w:val="single" w:sz="4" w:space="1" w:color="C7D2FE"/>
        </w:pBdr>
      </w:pPr>
    </w:p>
    <w:p>
      <w:pPr>
        <w:pStyle w:val="Heading2"/>
      </w:pPr>
      <w:r>
        <w:rPr>
          <w:b/>
          <w:color w:val="1E4D8C"/>
          <w:sz w:val="32"/>
        </w:rPr>
        <w:t>模块关联关系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394"/>
            <w:shd w:val="clear" w:color="auto" w:fill="DBEAFE"/>
          </w:tcPr>
          <w:p>
            <w:r>
              <w:rPr>
                <w:b/>
                <w:sz w:val="18"/>
              </w:rPr>
              <w:t>关联模块</w:t>
            </w:r>
          </w:p>
        </w:tc>
        <w:tc>
          <w:tcPr>
            <w:tcW w:type="dxa" w:w="4394"/>
            <w:shd w:val="clear" w:color="auto" w:fill="DBEAFE"/>
          </w:tcPr>
          <w:p>
            <w:r>
              <w:rPr>
                <w:b/>
                <w:sz w:val="18"/>
              </w:rPr>
              <w:t>工作台与该模块的关系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采销系统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聚合合同审批待办；展示合同执行概览；合同到期预警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物流管理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展示在途货物状态；在途超时预警；物流台账数据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库存管理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展示实时库存状况；库龄预警；盘点差异待审批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质检化验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质检熔断预警；质检合格率统计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地磅管理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磅差异常预警；设备离线告警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财务结算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付款审批待办；逾期收付款预警；资金看板数据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主数据管理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权限配置决定工作台数据可见范围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