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A365D"/>
          <w:sz w:val="40"/>
        </w:rPr>
        <w:t>矿产供应链运营管理系统</w:t>
      </w:r>
    </w:p>
    <w:p>
      <w:pPr>
        <w:pStyle w:val="Heading2"/>
      </w:pPr>
      <w:r>
        <w:rPr>
          <w:b/>
          <w:color w:val="1E4D8C"/>
          <w:sz w:val="32"/>
        </w:rPr>
        <w:t>01 系统管理员 · 主数据管理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角色定位</w:t>
      </w:r>
    </w:p>
    <w:p>
      <w:r>
        <w:rPr>
          <w:sz w:val="20"/>
        </w:rPr>
        <w:t>系统管理员负责全平台基础档案的配置与维护。本角色是系统正式运行的</w:t>
      </w:r>
      <w:r>
        <w:rPr>
          <w:b/>
          <w:sz w:val="20"/>
        </w:rPr>
        <w:t>前提条件</w:t>
      </w:r>
      <w:r>
        <w:rPr>
          <w:sz w:val="20"/>
        </w:rPr>
        <w:t>，所有业务模块（采销、物流、库存、质检、地磅等）的下拉选项、权限控制、数据口径均依赖主数据的准确配置。</w:t>
      </w:r>
    </w:p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在整体业务链中的位置</w:t>
      </w:r>
      <w:r>
        <w:rPr>
          <w:color w:val="1E40AF"/>
          <w:sz w:val="19"/>
        </w:rPr>
        <w:t>：主数据管理无上游业务依赖，是所有业务流的"地基"。配置质量直接影响全链路数据准确性、权限安全性与统计口径一致性。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业务链位置</w:t>
      </w:r>
    </w:p>
    <w:p>
      <w:pPr>
        <w:ind w:left="454"/>
      </w:pPr>
      <w:r>
        <w:rPr>
          <w:rFonts w:ascii="Courier New" w:hAnsi="Courier New"/>
          <w:color w:val="1E406E"/>
          <w:sz w:val="17"/>
        </w:rPr>
        <w:t>【主数据管理】</w:t>
        <w:br/>
      </w:r>
      <w:r>
        <w:rPr>
          <w:rFonts w:ascii="Courier New" w:hAnsi="Courier New"/>
          <w:color w:val="1E406E"/>
          <w:sz w:val="17"/>
        </w:rPr>
        <w:t xml:space="preserve">       ↓ 支撑</w:t>
        <w:br/>
      </w:r>
      <w:r>
        <w:rPr>
          <w:rFonts w:ascii="Courier New" w:hAnsi="Courier New"/>
          <w:color w:val="1E406E"/>
          <w:sz w:val="17"/>
        </w:rPr>
        <w:t>采销业务员 · 物流运营 · 仓储库管 · 现场一线 · 财务结算 · 运营管理者</w:t>
        <w:br/>
      </w:r>
    </w:p>
    <w:p>
      <w:r>
        <w:rPr>
          <w:sz w:val="20"/>
        </w:rPr>
      </w:r>
      <w:r>
        <w:rPr>
          <w:b/>
          <w:sz w:val="20"/>
        </w:rPr>
        <w:t>上游任务流</w:t>
      </w:r>
      <w:r>
        <w:rPr>
          <w:sz w:val="20"/>
        </w:rPr>
        <w:t>：无业务前置依赖，由系统管理员在系统上线前完成初始配置，并在业务运营中持续维护更新。</w:t>
      </w:r>
    </w:p>
    <w:p>
      <w:r>
        <w:rPr>
          <w:sz w:val="20"/>
        </w:rPr>
      </w:r>
      <w:r>
        <w:rPr>
          <w:b/>
          <w:sz w:val="20"/>
        </w:rPr>
        <w:t>下游影响</w:t>
      </w:r>
      <w:r>
        <w:rPr>
          <w:sz w:val="20"/>
        </w:rPr>
        <w:t>：</w:t>
      </w:r>
    </w:p>
    <w:p>
      <w:pPr>
        <w:pStyle w:val="ListBullet"/>
        <w:ind w:left="283"/>
      </w:pPr>
      <w:r>
        <w:rPr>
          <w:sz w:val="20"/>
        </w:rPr>
        <w:t>采销业务员：引用供应商/客户/物料/价格创建合同</w:t>
      </w:r>
    </w:p>
    <w:p>
      <w:pPr>
        <w:pStyle w:val="ListBullet"/>
        <w:ind w:left="283"/>
      </w:pPr>
      <w:r>
        <w:rPr>
          <w:sz w:val="20"/>
        </w:rPr>
        <w:t>物流运营：引用车辆、承运商信息创建运单</w:t>
      </w:r>
    </w:p>
    <w:p>
      <w:pPr>
        <w:pStyle w:val="ListBullet"/>
        <w:ind w:left="283"/>
      </w:pPr>
      <w:r>
        <w:rPr>
          <w:sz w:val="20"/>
        </w:rPr>
        <w:t>仓储库管：引用仓库库位信息管理库存</w:t>
      </w:r>
    </w:p>
    <w:p>
      <w:pPr>
        <w:pStyle w:val="ListBullet"/>
        <w:ind w:left="283"/>
      </w:pPr>
      <w:r>
        <w:rPr>
          <w:sz w:val="20"/>
        </w:rPr>
        <w:t>财务结算：引用组织架构（部门组）进行资金计息与统计</w:t>
      </w:r>
    </w:p>
    <w:p>
      <w:pPr>
        <w:pStyle w:val="ListBullet"/>
        <w:ind w:left="283"/>
      </w:pPr>
      <w:r>
        <w:rPr>
          <w:sz w:val="20"/>
        </w:rPr>
        <w:t>全体角色：用户权限决定每个人的菜单可见范围和数据访问边界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核心功能模块</w:t>
      </w:r>
    </w:p>
    <w:p>
      <w:pPr>
        <w:pStyle w:val="Heading3"/>
      </w:pPr>
      <w:r>
        <w:rPr>
          <w:b/>
          <w:color w:val="2563EB"/>
          <w:sz w:val="26"/>
        </w:rPr>
        <w:t>1. 供应商 / 客户管理</w:t>
      </w:r>
    </w:p>
    <w:p>
      <w:r>
        <w:rPr>
          <w:sz w:val="20"/>
        </w:rPr>
      </w:r>
      <w:r>
        <w:rPr>
          <w:b/>
          <w:sz w:val="20"/>
        </w:rPr>
        <w:t>优先级：P0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基本信息维护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企业名称、统一社会信用代码、联系方式、开票信息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分类分级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核心 / 普通 / 临时；供应商与客户分类型管理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多主体绑定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支持一个往来企业绑定多个我方签约主体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编码唯一性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供应商/客户编码系统自动生成且唯一，防止重复录入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合作状态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有效 / 停用，停用后不可在新单据中引用</w:t>
            </w:r>
          </w:p>
        </w:tc>
      </w:tr>
    </w:tbl>
    <w:p/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运维注意</w:t>
      </w:r>
      <w:r>
        <w:rPr>
          <w:color w:val="1E40AF"/>
          <w:sz w:val="19"/>
        </w:rPr>
        <w:t>：供应商/客户档案变更（如开票信息、联系方式）应及时更新，已生效历史单据不受影响，新单据引用最新版本。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2. 物料管理</w:t>
      </w:r>
    </w:p>
    <w:p>
      <w:r>
        <w:rPr>
          <w:sz w:val="20"/>
        </w:rPr>
      </w:r>
      <w:r>
        <w:rPr>
          <w:b/>
          <w:sz w:val="20"/>
        </w:rPr>
        <w:t>优先级：P0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基础信息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品名、规格（萤石粉等级/粒度）、大类、计量单位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商品编码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支持内部编码与外部商品编码（税务/海关）转化映射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质检指标联动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物料与质检指标模板关联，入库时自动触发对应质检项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虚拟物料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支持加工转化场景下的虚拟物料（如委托加工成品）</w:t>
            </w:r>
          </w:p>
        </w:tc>
      </w:tr>
    </w:tbl>
    <w:p/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运维注意</w:t>
      </w:r>
      <w:r>
        <w:rPr>
          <w:color w:val="1E40AF"/>
          <w:sz w:val="19"/>
        </w:rPr>
        <w:t>：物料新增或规格调整需同步评估质检指标模板是否需要更新（关联质检化验模块）。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3. 仓库库位管理</w:t>
      </w:r>
    </w:p>
    <w:p>
      <w:r>
        <w:rPr>
          <w:sz w:val="20"/>
        </w:rPr>
      </w:r>
      <w:r>
        <w:rPr>
          <w:b/>
          <w:sz w:val="20"/>
        </w:rPr>
        <w:t>优先级：P0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仓库基本信息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仓库名称、地址、类型（自有仓/监管仓/第三方仓）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库区/库位编码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支持多级层级：仓库 → 库区 → 库位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库容配置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设置库位额定库容，用于库存预警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地磅点位关联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仓库与地磅设备点位关联，入库时自动匹配过磅数据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4. 车辆管理</w:t>
      </w:r>
    </w:p>
    <w:p>
      <w:r>
        <w:rPr>
          <w:sz w:val="20"/>
        </w:rPr>
      </w:r>
      <w:r>
        <w:rPr>
          <w:b/>
          <w:sz w:val="20"/>
        </w:rPr>
        <w:t>优先级：P0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车辆档案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车牌号、车型、额定载重、所属物流供应商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驾驶员信息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姓名、联系方式、驾驶证信息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北斗/GPS设备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绑定北斗设备号，用于在途轨迹跟踪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物流运单联动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车辆信息与物流运单、地磅过磅自动关联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5. 价格管理</w:t>
      </w:r>
    </w:p>
    <w:p>
      <w:r>
        <w:rPr>
          <w:sz w:val="20"/>
        </w:rPr>
      </w:r>
      <w:r>
        <w:rPr>
          <w:b/>
          <w:sz w:val="20"/>
        </w:rPr>
        <w:t>优先级：P0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基础价格维护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按物料维护基础参考价格与生效期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历史价格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记录历史价格变化，支持回溯查看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区域价格差异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支持按产地/区域配置差异化价格基准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采销合同引用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合同定价时引用价格基准作为参考，实际价格由合同约定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6. 组织架构管理</w:t>
      </w:r>
    </w:p>
    <w:p>
      <w:r>
        <w:rPr>
          <w:sz w:val="20"/>
        </w:rPr>
      </w:r>
      <w:r>
        <w:rPr>
          <w:b/>
          <w:sz w:val="20"/>
        </w:rPr>
        <w:t>优先级：P1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部门组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用于额度、资金计息、权限的多维度统计口径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部门 / 业务组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归属业务部门，用于报表统计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利润中心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内部利润中心管理，支持移库核算场景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树形层级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支持树形组织架构，无限层级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7. 用户与权限管理</w:t>
      </w:r>
    </w:p>
    <w:p>
      <w:r>
        <w:rPr>
          <w:sz w:val="20"/>
        </w:rPr>
      </w:r>
      <w:r>
        <w:rPr>
          <w:b/>
          <w:sz w:val="20"/>
        </w:rPr>
        <w:t>优先级：P1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用户账号管理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创建/停用系统用户，关联员工信息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角色配置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按岗位定义角色（采销业务员/物流运营/财务/现场一线等）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菜单/按钮权限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控制各角色可见菜单与可操作按钮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数据权限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按部门组维度控制数据可见性（如仅看本部门合同）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业务线隔离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合作伙伴共管场景下，按主体关系授权数据访问</w:t>
            </w:r>
          </w:p>
        </w:tc>
      </w:tr>
    </w:tbl>
    <w:p/>
    <w:p>
      <w:pPr>
        <w:ind w:left="454" w:right="454"/>
        <w:shd w:val="clear" w:fill="EFF6FF"/>
      </w:pPr>
      <w:r>
        <w:rPr>
          <w:color w:val="1E40AF"/>
          <w:sz w:val="19"/>
        </w:rPr>
      </w:r>
      <w:r>
        <w:rPr>
          <w:b/>
          <w:color w:val="1E40AF"/>
          <w:sz w:val="19"/>
        </w:rPr>
        <w:t>重要原则</w:t>
      </w:r>
      <w:r>
        <w:rPr>
          <w:color w:val="1E40AF"/>
          <w:sz w:val="19"/>
        </w:rPr>
        <w:t>：权限配置需严格按最小权限原则配置，敏感数据（结算金额、资金信息）仅对有需要的角色开放。</w:t>
      </w:r>
    </w:p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8. 审批流程配置</w:t>
      </w:r>
    </w:p>
    <w:p>
      <w:r>
        <w:rPr>
          <w:sz w:val="20"/>
        </w:rPr>
      </w:r>
      <w:r>
        <w:rPr>
          <w:b/>
          <w:sz w:val="20"/>
        </w:rPr>
        <w:t>优先级：P1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审批链配置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按单据类型（合同/付款申请/入库单等）配置审批节点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部门维度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支持按部门/金额段配置不同审批链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审批人设置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支持固定审批人和按岗位动态指定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抄送配置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关键单据审批时自动抄送相关人员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3"/>
      </w:pPr>
      <w:r>
        <w:rPr>
          <w:b/>
          <w:color w:val="2563EB"/>
          <w:sz w:val="26"/>
        </w:rPr>
        <w:t>9. 基础智能化工具（OCR）</w:t>
      </w:r>
    </w:p>
    <w:p>
      <w:r>
        <w:rPr>
          <w:sz w:val="20"/>
        </w:rPr>
      </w:r>
      <w:r>
        <w:rPr>
          <w:b/>
          <w:sz w:val="20"/>
        </w:rPr>
        <w:t>优先级：P2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4394"/>
            <w:shd w:val="clear" w:color="auto" w:fill="DBEAFE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单据OCR识别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支持磅单、发票、合同、质检报告等单据图像识别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结构化提取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识别结果自动填充至系统字段，减少人工录入</w:t>
            </w:r>
          </w:p>
        </w:tc>
      </w:tr>
      <w:tr>
        <w:tc>
          <w:tcPr>
            <w:tcW w:type="dxa" w:w="4394"/>
          </w:tcPr>
          <w:p>
            <w:r>
              <w:rPr>
                <w:sz w:val="18"/>
              </w:rPr>
              <w:t>人工校验</w:t>
            </w:r>
          </w:p>
        </w:tc>
        <w:tc>
          <w:tcPr>
            <w:tcW w:type="dxa" w:w="4394"/>
          </w:tcPr>
          <w:p>
            <w:r>
              <w:rPr>
                <w:sz w:val="18"/>
              </w:rPr>
              <w:t>识别结果需人工确认后生效，防止错误数据入库</w:t>
            </w:r>
          </w:p>
        </w:tc>
      </w:tr>
    </w:tbl>
    <w:p/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配置优先顺序（系统上线前）</w:t>
      </w:r>
    </w:p>
    <w:p>
      <w:r>
        <w:rPr>
          <w:sz w:val="20"/>
        </w:rPr>
      </w:r>
      <w:r>
        <w:rPr>
          <w:b/>
          <w:sz w:val="20"/>
        </w:rPr>
        <w:t>第一批（上线前必须就绪）</w:t>
      </w:r>
      <w:r>
        <w:rPr>
          <w:sz w:val="20"/>
        </w:rPr>
        <w:t>：</w:t>
      </w:r>
    </w:p>
    <w:p>
      <w:pPr>
        <w:pStyle w:val="ListNumber"/>
        <w:ind w:left="283"/>
      </w:pPr>
      <w:r>
        <w:rPr>
          <w:sz w:val="20"/>
        </w:rPr>
        <w:t>供应商/客户档案 - 采销合同无法创建</w:t>
      </w:r>
    </w:p>
    <w:p>
      <w:pPr>
        <w:pStyle w:val="ListNumber"/>
        <w:ind w:left="283"/>
      </w:pPr>
      <w:r>
        <w:rPr>
          <w:sz w:val="20"/>
        </w:rPr>
        <w:t>物料基础信息 - 所有业务单据依赖</w:t>
      </w:r>
    </w:p>
    <w:p>
      <w:pPr>
        <w:pStyle w:val="ListNumber"/>
        <w:ind w:left="283"/>
      </w:pPr>
      <w:r>
        <w:rPr>
          <w:sz w:val="20"/>
        </w:rPr>
        <w:t>仓库库位 - 库存管理无法运行</w:t>
      </w:r>
    </w:p>
    <w:p>
      <w:pPr>
        <w:pStyle w:val="ListNumber"/>
        <w:ind w:left="283"/>
      </w:pPr>
      <w:r>
        <w:rPr>
          <w:sz w:val="20"/>
        </w:rPr>
        <w:t>车辆档案 - 物流运单无法填写</w:t>
      </w:r>
    </w:p>
    <w:p>
      <w:pPr>
        <w:pStyle w:val="ListNumber"/>
        <w:ind w:left="283"/>
      </w:pPr>
      <w:r>
        <w:rPr>
          <w:sz w:val="20"/>
        </w:rPr>
        <w:t>价格基准 - 合同定价参考</w:t>
      </w:r>
    </w:p>
    <w:p>
      <w:r>
        <w:rPr>
          <w:sz w:val="20"/>
        </w:rPr>
      </w:r>
      <w:r>
        <w:rPr>
          <w:b/>
          <w:sz w:val="20"/>
        </w:rPr>
        <w:t>第二批（上线同期配置）</w:t>
      </w:r>
      <w:r>
        <w:rPr>
          <w:sz w:val="20"/>
        </w:rPr>
        <w:t>：</w:t>
      </w:r>
    </w:p>
    <w:p>
      <w:pPr>
        <w:pStyle w:val="ListNumber"/>
        <w:ind w:left="283"/>
      </w:pPr>
      <w:r>
        <w:rPr>
          <w:sz w:val="20"/>
        </w:rPr>
        <w:t>组织架构与部门 - 权限和统计依赖</w:t>
      </w:r>
    </w:p>
    <w:p>
      <w:pPr>
        <w:pStyle w:val="ListNumber"/>
        <w:ind w:left="283"/>
      </w:pPr>
      <w:r>
        <w:rPr>
          <w:sz w:val="20"/>
        </w:rPr>
        <w:t>用户账号与角色权限 - 各岗位人员需要账号登录</w:t>
      </w:r>
    </w:p>
    <w:p>
      <w:pPr>
        <w:pStyle w:val="ListNumber"/>
        <w:ind w:left="283"/>
      </w:pPr>
      <w:r>
        <w:rPr>
          <w:sz w:val="20"/>
        </w:rPr>
        <w:t>审批流程 - 合同/付款等关键单据的审批链</w:t>
      </w:r>
    </w:p>
    <w:p>
      <w:r>
        <w:rPr>
          <w:sz w:val="20"/>
        </w:rPr>
      </w:r>
      <w:r>
        <w:rPr>
          <w:b/>
          <w:sz w:val="20"/>
        </w:rPr>
        <w:t>第三批（稳定运行后接入）</w:t>
      </w:r>
      <w:r>
        <w:rPr>
          <w:sz w:val="20"/>
        </w:rPr>
        <w:t>：</w:t>
      </w:r>
    </w:p>
    <w:p>
      <w:pPr>
        <w:pStyle w:val="ListNumber"/>
        <w:ind w:left="283"/>
      </w:pPr>
      <w:r>
        <w:rPr>
          <w:sz w:val="20"/>
        </w:rPr>
        <w:t>OCR识别工具 - 提效工具，非核心流程</w:t>
      </w:r>
    </w:p>
    <w:p>
      <w:pPr>
        <w:pBdr>
          <w:bottom w:val="single" w:sz="4" w:space="1" w:color="C7D2FE"/>
        </w:pBdr>
      </w:pPr>
    </w:p>
    <w:p>
      <w:pPr>
        <w:pStyle w:val="Heading2"/>
      </w:pPr>
      <w:r>
        <w:rPr>
          <w:b/>
          <w:color w:val="1E4D8C"/>
          <w:sz w:val="32"/>
        </w:rPr>
        <w:t>注意事项</w:t>
      </w:r>
    </w:p>
    <w:p>
      <w:pPr>
        <w:pStyle w:val="ListBullet"/>
        <w:ind w:left="283"/>
      </w:pPr>
      <w:r>
        <w:rPr>
          <w:sz w:val="20"/>
        </w:rPr>
        <w:t>主数据变更须记录版本历史，</w:t>
      </w:r>
      <w:r>
        <w:rPr>
          <w:b/>
          <w:sz w:val="20"/>
        </w:rPr>
        <w:t>已生效单据不随主数据变更而改变</w:t>
      </w:r>
      <w:r>
        <w:rPr>
          <w:sz w:val="20"/>
        </w:rPr>
        <w:t>，新单据始终引用最新版本</w:t>
      </w:r>
    </w:p>
    <w:p>
      <w:pPr>
        <w:pStyle w:val="ListBullet"/>
        <w:ind w:left="283"/>
      </w:pPr>
      <w:r>
        <w:rPr>
          <w:sz w:val="20"/>
        </w:rPr>
        <w:t>供应商/客户停用前，需确认无未完成的合同执行中</w:t>
      </w:r>
    </w:p>
    <w:p>
      <w:pPr>
        <w:pStyle w:val="ListBullet"/>
        <w:ind w:left="283"/>
      </w:pPr>
      <w:r>
        <w:rPr>
          <w:sz w:val="20"/>
        </w:rPr>
        <w:t>组织架构调整（如新增部门组）需同步评估对资金计息规则和权限范围的影响</w:t>
      </w:r>
    </w:p>
    <w:p>
      <w:pPr>
        <w:pStyle w:val="ListBullet"/>
        <w:ind w:left="283"/>
      </w:pPr>
      <w:r>
        <w:rPr>
          <w:sz w:val="20"/>
        </w:rPr>
        <w:t>未来引入第三方信用管理、风控模块时，供应商/客户档案将作为底层数据扩展点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