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A365D"/>
          <w:sz w:val="40"/>
        </w:rPr>
        <w:t>矿产供应链运营管理系统</w:t>
      </w:r>
    </w:p>
    <w:p>
      <w:pPr>
        <w:pStyle w:val="Heading2"/>
      </w:pPr>
      <w:r>
        <w:rPr>
          <w:b/>
          <w:color w:val="1E4D8C"/>
          <w:sz w:val="32"/>
        </w:rPr>
        <w:t>02 采销业务员 · 合同管理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角色定位</w:t>
      </w:r>
    </w:p>
    <w:p>
      <w:r>
        <w:rPr>
          <w:sz w:val="20"/>
        </w:rPr>
        <w:t>采销业务员是</w:t>
      </w:r>
      <w:r>
        <w:rPr>
          <w:b/>
          <w:sz w:val="20"/>
        </w:rPr>
        <w:t>业务链的起点</w:t>
      </w:r>
      <w:r>
        <w:rPr>
          <w:sz w:val="20"/>
        </w:rPr>
        <w:t>，负责与上下游洽谈贸易条款并在系统中录入合同，驱动后续物流、库存、结算全流程。合同一旦生效，将成为下游所有单据（发货指令、物流运单、入库单、结算单）的业务依据。</w:t>
      </w:r>
    </w:p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典型岗位</w:t>
      </w:r>
      <w:r>
        <w:rPr>
          <w:color w:val="1E40AF"/>
          <w:sz w:val="19"/>
        </w:rPr>
        <w:t>：业务经理、采购对接、销售内勤（如黄蕾、李纯福、蔡宇豪）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业务链位置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【主数据管理】（供应商/客户/物料/价格）</w:t>
        <w:br/>
      </w:r>
      <w:r>
        <w:rPr>
          <w:rFonts w:ascii="Courier New" w:hAnsi="Courier New"/>
          <w:color w:val="1E406E"/>
          <w:sz w:val="17"/>
        </w:rPr>
        <w:t xml:space="preserve">       ↓ 引用</w:t>
        <w:br/>
      </w:r>
      <w:r>
        <w:rPr>
          <w:rFonts w:ascii="Courier New" w:hAnsi="Courier New"/>
          <w:color w:val="1E406E"/>
          <w:sz w:val="17"/>
        </w:rPr>
        <w:t>【采销业务员 · 合同管理】← 你在这里</w:t>
        <w:br/>
      </w:r>
      <w:r>
        <w:rPr>
          <w:rFonts w:ascii="Courier New" w:hAnsi="Courier New"/>
          <w:color w:val="1E406E"/>
          <w:sz w:val="17"/>
        </w:rPr>
        <w:t xml:space="preserve">  ↙                    ↘</w:t>
        <w:br/>
      </w:r>
      <w:r>
        <w:rPr>
          <w:rFonts w:ascii="Courier New" w:hAnsi="Courier New"/>
          <w:color w:val="1E406E"/>
          <w:sz w:val="17"/>
        </w:rPr>
        <w:t>物流运营                财务结算</w:t>
        <w:br/>
      </w:r>
      <w:r>
        <w:rPr>
          <w:rFonts w:ascii="Courier New" w:hAnsi="Courier New"/>
          <w:color w:val="1E406E"/>
          <w:sz w:val="17"/>
        </w:rPr>
        <w:t>（发货指令→派车）        （结算单→付款）</w:t>
        <w:br/>
      </w:r>
      <w:r>
        <w:rPr>
          <w:rFonts w:ascii="Courier New" w:hAnsi="Courier New"/>
          <w:color w:val="1E406E"/>
          <w:sz w:val="17"/>
        </w:rPr>
        <w:t xml:space="preserve">  ↓</w:t>
        <w:br/>
      </w:r>
      <w:r>
        <w:rPr>
          <w:rFonts w:ascii="Courier New" w:hAnsi="Courier New"/>
          <w:color w:val="1E406E"/>
          <w:sz w:val="17"/>
        </w:rPr>
        <w:t>仓储库管</w:t>
        <w:br/>
      </w:r>
      <w:r>
        <w:rPr>
          <w:rFonts w:ascii="Courier New" w:hAnsi="Courier New"/>
          <w:color w:val="1E406E"/>
          <w:sz w:val="17"/>
        </w:rPr>
        <w:t>（入库/出库）</w:t>
        <w:br/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上游任务流：开始操作前需确认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供应商/客户档案已建立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系统管理员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合同必须从主数据选择对手方，不可手动录入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物料信息已配置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系统管理员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合同货物信息依赖物料主数据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价格基准已维护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系统管理员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为合同定价提供参考依据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额度已设置（如需）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系统管理员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超额时系统预警或拦截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核心功能模块</w:t>
      </w:r>
    </w:p>
    <w:p>
      <w:pPr>
        <w:pStyle w:val="Heading3"/>
      </w:pPr>
      <w:r>
        <w:rPr>
          <w:b/>
          <w:color w:val="2563EB"/>
          <w:sz w:val="26"/>
        </w:rPr>
        <w:t>合同类型总览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合同类型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适用场景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采购合同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向上游供应商采购货物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销售合同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向下游客户销售货物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双边合同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以销定购，同时确定采销两端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框架协议（年度/月度）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长期合作，约定总量/总价框架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采购意向单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合同审批中/未录入时先行记录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销售意向单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销售意向先行确认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委托加工合同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委托第三方加工生产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一、采购合同</w:t>
      </w:r>
    </w:p>
    <w:p>
      <w:pPr>
        <w:pStyle w:val="Heading4"/>
      </w:pPr>
      <w:r>
        <w:rPr>
          <w:b/>
          <w:color w:val="374151"/>
          <w:sz w:val="22"/>
        </w:rPr>
        <w:t>1.1 合同操作功能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创建合同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支持手动录入、引用采购意向单创建、导入Excel批量创建、复制已有合同创建；创建时校验供应商主数据、额度、价格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查询合同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按合同编号、供应商、状态、日期范围、物料、部门等多维度组合查询；支持模糊搜索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修改合同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仅"已保存""已驳回"状态可修改；修改后重新进入审批流程；保留历史版本记录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关闭/作废合同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执行完毕或不再执行时关闭/作废；关闭时校验溢短装比例范围内的已执行量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保存草稿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草稿状态保存，离开页面时提示保存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合同打印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按模板格式化打印合同文本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版本管理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记录合同每次修改的历史版本，支持版本回溯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1.2 合同状态机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已保存 → 审批中 → 已驳回（可修改后重新提交）</w:t>
        <w:br/>
      </w:r>
      <w:r>
        <w:rPr>
          <w:rFonts w:ascii="Courier New" w:hAnsi="Courier New"/>
          <w:color w:val="1E406E"/>
          <w:sz w:val="17"/>
        </w:rPr>
        <w:t xml:space="preserve">                 ↓</w:t>
        <w:br/>
      </w:r>
      <w:r>
        <w:rPr>
          <w:rFonts w:ascii="Courier New" w:hAnsi="Courier New"/>
          <w:color w:val="1E406E"/>
          <w:sz w:val="17"/>
        </w:rPr>
        <w:t xml:space="preserve">              已生效 → 执行中 → 已完成</w:t>
        <w:br/>
      </w:r>
      <w:r>
        <w:rPr>
          <w:rFonts w:ascii="Courier New" w:hAnsi="Courier New"/>
          <w:color w:val="1E406E"/>
          <w:sz w:val="17"/>
        </w:rPr>
        <w:t xml:space="preserve">                              ↓</w:t>
        <w:br/>
      </w:r>
      <w:r>
        <w:rPr>
          <w:rFonts w:ascii="Courier New" w:hAnsi="Courier New"/>
          <w:color w:val="1E406E"/>
          <w:sz w:val="17"/>
        </w:rPr>
        <w:t xml:space="preserve">                            已关闭 / 已作废</w:t>
        <w:br/>
      </w:r>
    </w:p>
    <w:p>
      <w:pPr>
        <w:pStyle w:val="Heading4"/>
      </w:pPr>
      <w:r>
        <w:rPr>
          <w:b/>
          <w:color w:val="374151"/>
          <w:sz w:val="22"/>
        </w:rPr>
        <w:t>1.3 关键字段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字段分组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字段名称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公司信息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我方签约主体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此次交易使用的我方主体，支持多主体切换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公司信息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业务部门 / 业务员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归属部门与负责人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供应商信息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供应商名称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从主数据选择，支持模糊搜索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供应商信息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外部合同号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供应商方合同编号，用于对账关联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货物信息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物料/商品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从物料主数据选择，含商品编码、品名、规格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货物信息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采购数量 / 单价 / 总额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合同约定数量、含税/不含税单价、总金额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货物信息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溢装/短装比例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允许实际交货数量偏差范围，用于合同关闭校验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货物信息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定价类型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一口价 / 基差定价 / 不定价（后续通过定价单确定）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收货信息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收货地/仓库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货物送达仓库或地点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收货信息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交货方式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供应商配送 / 自提 / 库转等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结算条款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结算数量依据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以磅单/入库单/质检单哪个数量为准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结算条款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付款比例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预付款比例、尾款比例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结算条款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付款账期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约定付款账期天数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结算条款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付款方式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电汇/承兑/信用证等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1.4 采购合同生成的下游单据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下游单据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触发节点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供应商发货指令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采购合同生效后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通知供应商发货，跟踪货物在途状态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定价单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合同为不定价/基差定价时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后续确定具体价格，关联合同行项目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付款申请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满足付款条件时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基于合同结算条款生成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二、销售合同</w:t>
      </w:r>
    </w:p>
    <w:p>
      <w:pPr>
        <w:pStyle w:val="Heading4"/>
      </w:pPr>
      <w:r>
        <w:rPr>
          <w:b/>
          <w:color w:val="374151"/>
          <w:sz w:val="22"/>
        </w:rPr>
        <w:t>2.1 合同操作功能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创建合同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支持手动录入、引用销售意向单创建、导入Excel批量创建、复制已有合同创建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查询合同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按合同编号、客户、状态、日期范围、物料、部门等多维度查询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修改合同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仅"已保存""已驳回"状态可修改；修改后重新审批；保留历史版本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关闭/作废合同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执行完毕或异常终止时操作；关闭后不可生成后续单据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2.2 销售合同与采购合同的核心差异字段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客户名称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下游客户（采购合同为供应商）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实际收货方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第三方销售场景下实际接收货物的下游方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交货地点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货物交付给客户的地点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收款条件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预收款/货到收款/账期收款等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逾期条款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逾期收款的罚则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赊销/赊销金额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是否赊销及赊销额度，用于风控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2.3 销售合同生成的下游单据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下游单据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触发节点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销售提单/发货通知单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销售合同生效后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向下游客户发出提货/发货通知，关联物流出库单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销售合同执行主链路</w:t>
      </w:r>
      <w:r>
        <w:rPr>
          <w:sz w:val="20"/>
        </w:rPr>
        <w:t>：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销售合同生效</w:t>
        <w:br/>
      </w:r>
      <w:r>
        <w:rPr>
          <w:rFonts w:ascii="Courier New" w:hAnsi="Courier New"/>
          <w:color w:val="1E406E"/>
          <w:sz w:val="17"/>
        </w:rPr>
        <w:t xml:space="preserve">    → 销售提单/发货通知单</w:t>
        <w:br/>
      </w:r>
      <w:r>
        <w:rPr>
          <w:rFonts w:ascii="Courier New" w:hAnsi="Courier New"/>
          <w:color w:val="1E406E"/>
          <w:sz w:val="17"/>
        </w:rPr>
        <w:t xml:space="preserve">    → 物流出库单</w:t>
        <w:br/>
      </w:r>
      <w:r>
        <w:rPr>
          <w:rFonts w:ascii="Courier New" w:hAnsi="Courier New"/>
          <w:color w:val="1E406E"/>
          <w:sz w:val="17"/>
        </w:rPr>
        <w:t xml:space="preserve">    → 过磅出库</w:t>
        <w:br/>
      </w:r>
      <w:r>
        <w:rPr>
          <w:rFonts w:ascii="Courier New" w:hAnsi="Courier New"/>
          <w:color w:val="1E406E"/>
          <w:sz w:val="17"/>
        </w:rPr>
        <w:t xml:space="preserve">    → 库存扣减</w:t>
        <w:br/>
      </w:r>
      <w:r>
        <w:rPr>
          <w:rFonts w:ascii="Courier New" w:hAnsi="Courier New"/>
          <w:color w:val="1E406E"/>
          <w:sz w:val="17"/>
        </w:rPr>
        <w:t xml:space="preserve">    → 客户收货确认</w:t>
        <w:br/>
      </w:r>
      <w:r>
        <w:rPr>
          <w:rFonts w:ascii="Courier New" w:hAnsi="Courier New"/>
          <w:color w:val="1E406E"/>
          <w:sz w:val="17"/>
        </w:rPr>
        <w:t xml:space="preserve">    → 触发结算流程</w:t>
        <w:br/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三、双边合同（以销定购）</w:t>
      </w:r>
    </w:p>
    <w:p>
      <w:r>
        <w:rPr>
          <w:sz w:val="20"/>
        </w:rPr>
        <w:t>双边合同是"以销定购"业务模式。在同一合同内同时约定上游采购和下游销售，系统自动拆分为独立的采购单与销售单。</w:t>
      </w:r>
    </w:p>
    <w:p>
      <w:pPr>
        <w:pStyle w:val="Heading4"/>
      </w:pPr>
      <w:r>
        <w:rPr>
          <w:b/>
          <w:color w:val="374151"/>
          <w:sz w:val="22"/>
        </w:rPr>
        <w:t>3.1 核心流程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签订双边合同</w:t>
        <w:br/>
      </w:r>
      <w:r>
        <w:rPr>
          <w:rFonts w:ascii="Courier New" w:hAnsi="Courier New"/>
          <w:color w:val="1E406E"/>
          <w:sz w:val="17"/>
        </w:rPr>
        <w:t xml:space="preserve">    → 系统自动拆分：采购合同 + 销售合同</w:t>
        <w:br/>
      </w:r>
      <w:r>
        <w:rPr>
          <w:rFonts w:ascii="Courier New" w:hAnsi="Courier New"/>
          <w:color w:val="1E406E"/>
          <w:sz w:val="17"/>
        </w:rPr>
        <w:t xml:space="preserve">    → 采购端：生成供应商发货指令（按销售需求控制采购节奏）</w:t>
        <w:br/>
      </w:r>
      <w:r>
        <w:rPr>
          <w:rFonts w:ascii="Courier New" w:hAnsi="Courier New"/>
          <w:color w:val="1E406E"/>
          <w:sz w:val="17"/>
        </w:rPr>
        <w:t xml:space="preserve">    → 销售端：生成销售提单</w:t>
        <w:br/>
      </w:r>
      <w:r>
        <w:rPr>
          <w:rFonts w:ascii="Courier New" w:hAnsi="Courier New"/>
          <w:color w:val="1E406E"/>
          <w:sz w:val="17"/>
        </w:rPr>
        <w:t xml:space="preserve">    → 以销定购：按销售需求驱动采购执行</w:t>
        <w:br/>
      </w:r>
    </w:p>
    <w:p>
      <w:pPr>
        <w:pStyle w:val="Heading4"/>
      </w:pPr>
      <w:r>
        <w:rPr>
          <w:b/>
          <w:color w:val="374151"/>
          <w:sz w:val="22"/>
        </w:rPr>
        <w:t>3.2 功能特性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特性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自动拆分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签订双边合同后，系统自动拆分为采购合同和销售合同，两边独立管理执行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提货计划联动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供应商发货指令+销售提单联动，按销售需求控制采购节奏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直拨业务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供应商直接发货到下游客户，减少中间仓储环节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采销匹配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采购端与销售端通过贸易关联号自动匹配，端到端跟踪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库存敞口管理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实时计算采销两端差异，展示库存敞口与潜在盈亏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四、其他合同</w:t>
      </w:r>
    </w:p>
    <w:p>
      <w:r>
        <w:rPr>
          <w:sz w:val="20"/>
        </w:rPr>
        <w:t>通用OA审批流程合同，如物流供应商合作合同、技术供应商合同、仓储服务合作合同。走标准审批流程，不驱动业务单据流转。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完整业务操作流程</w:t>
      </w:r>
    </w:p>
    <w:p>
      <w:r>
        <w:rPr>
          <w:sz w:val="20"/>
        </w:rPr>
      </w:r>
      <w:r>
        <w:rPr>
          <w:b/>
          <w:sz w:val="20"/>
        </w:rPr>
        <w:t>标准采购合同执行链路</w:t>
      </w:r>
      <w:r>
        <w:rPr>
          <w:sz w:val="20"/>
        </w:rPr>
        <w:t>：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① 采销员录入合同 → 判断单边/双边 → 双边自动拆出采购单与销售单</w:t>
        <w:br/>
      </w:r>
      <w:r>
        <w:rPr>
          <w:rFonts w:ascii="Courier New" w:hAnsi="Courier New"/>
          <w:color w:val="1E406E"/>
          <w:sz w:val="17"/>
        </w:rPr>
        <w:t>② 系统校验额度 → 超额弹窗提示或拦截（一期人工控制，合作伙伴总额提示）</w:t>
        <w:br/>
      </w:r>
      <w:r>
        <w:rPr>
          <w:rFonts w:ascii="Courier New" w:hAnsi="Courier New"/>
          <w:color w:val="1E406E"/>
          <w:sz w:val="17"/>
        </w:rPr>
        <w:t>③ 合同审批通过（已生效）</w:t>
        <w:br/>
      </w:r>
      <w:r>
        <w:rPr>
          <w:rFonts w:ascii="Courier New" w:hAnsi="Courier New"/>
          <w:color w:val="1E406E"/>
          <w:sz w:val="17"/>
        </w:rPr>
        <w:t>④ 下达供应商发货指令 → 自动通知物流运营与仓储库管</w:t>
        <w:br/>
      </w:r>
      <w:r>
        <w:rPr>
          <w:rFonts w:ascii="Courier New" w:hAnsi="Courier New"/>
          <w:color w:val="1E406E"/>
          <w:sz w:val="17"/>
        </w:rPr>
        <w:t>⑤ 收货确认 → 结算引擎按规则算出预付款/尾款 → 生成结算单待财务审核</w:t>
        <w:br/>
      </w:r>
      <w:r>
        <w:rPr>
          <w:rFonts w:ascii="Courier New" w:hAnsi="Courier New"/>
          <w:color w:val="1E406E"/>
          <w:sz w:val="17"/>
        </w:rPr>
        <w:t>⑥ 持续跟踪：发货指令在途 → 物流入库 → 业务入库 → 结算 → 发票 → 付款</w:t>
        <w:br/>
      </w:r>
      <w:r>
        <w:rPr>
          <w:rFonts w:ascii="Courier New" w:hAnsi="Courier New"/>
          <w:color w:val="1E406E"/>
          <w:sz w:val="17"/>
        </w:rPr>
        <w:t>⑦ 合同执行完毕 → 关闭合同 → 归档</w:t>
        <w:br/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下游任务流：合同生效后你的工作触发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下游角色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触发事项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你需要做什么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物流运营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合同生效后下达发货指令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在系统中创建并下达供应商发货指令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仓储库管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货物到达后入库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确认收货数据，结算引擎据此计算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财务结算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收货确认后触发结算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确认结算数据无误后提交财务审核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现场一线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合同信息下达现场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通知甘肃现场质量标准、扣重规则、结算周期等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模块关联关系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关联模块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关系说明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主数据管理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供应商/客户/物料/价格从主数据引用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物流管理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合同生效后下达发货/提货指令，触发物流任务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库存管理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出入库单据关联合同与批次，跟踪履约进度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质检化验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质检结果影响验收确认与结算扣水扣杂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地磅管理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过磅净重作为结算数量依据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资金付款管理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合同结算条款驱动结算单生成和付款申请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额度管理说明（一期）</w:t>
      </w:r>
    </w:p>
    <w:p>
      <w:pPr>
        <w:pStyle w:val="ListBullet"/>
        <w:ind w:left="283"/>
      </w:pPr>
      <w:r>
        <w:rPr>
          <w:sz w:val="20"/>
        </w:rPr>
        <w:t>系统按往来单位设授信额度</w:t>
      </w:r>
    </w:p>
    <w:p>
      <w:pPr>
        <w:pStyle w:val="ListBullet"/>
        <w:ind w:left="283"/>
      </w:pPr>
      <w:r>
        <w:rPr>
          <w:sz w:val="20"/>
        </w:rPr>
        <w:t>下单时自动校验可用额度</w:t>
      </w:r>
    </w:p>
    <w:p>
      <w:pPr>
        <w:pStyle w:val="ListBullet"/>
        <w:ind w:left="283"/>
      </w:pPr>
      <w:r>
        <w:rPr>
          <w:sz w:val="20"/>
        </w:rPr>
        <w:t>超额时弹窗提示（</w:t>
      </w:r>
      <w:r>
        <w:rPr>
          <w:b/>
          <w:sz w:val="20"/>
        </w:rPr>
        <w:t>一期不做硬拦截，人工控制</w:t>
      </w:r>
      <w:r>
        <w:rPr>
          <w:sz w:val="20"/>
        </w:rPr>
        <w:t>，可查看合作伙伴总额）</w:t>
      </w:r>
    </w:p>
    <w:p>
      <w:pPr>
        <w:pStyle w:val="ListBullet"/>
        <w:ind w:left="283"/>
      </w:pPr>
      <w:r>
        <w:rPr>
          <w:sz w:val="20"/>
        </w:rPr>
        <w:t>超额发货需人工审批确认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