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60"/>
        <w:jc w:val="center"/>
      </w:pPr>
      <w:r>
        <w:rPr>
          <w:rFonts w:ascii="Arial" w:cs="Arial" w:eastAsia="Arial" w:hAnsi="Arial"/>
          <w:b/>
          <w:bCs/>
          <w:color w:val="0A0A0A"/>
          <w:spacing w:val="60"/>
          <w:sz w:val="56"/>
          <w:szCs w:val="56"/>
        </w:rPr>
        <w:t xml:space="preserve">LEASEWISE CANADA</w:t>
      </w:r>
    </w:p>
    <w:p>
      <w:pPr>
        <w:spacing w:after="120"/>
        <w:jc w:val="center"/>
      </w:pPr>
      <w:r>
        <w:rPr>
          <w:rFonts w:ascii="Arial" w:cs="Arial" w:eastAsia="Arial" w:hAnsi="Arial"/>
          <w:color w:val="C4F042"/>
          <w:sz w:val="22"/>
          <w:szCs w:val="22"/>
        </w:rPr>
        <w:t xml:space="preserve">__________________________</w:t>
      </w:r>
    </w:p>
    <w:p>
      <w:pPr>
        <w:spacing w:after="60"/>
        <w:jc w:val="center"/>
      </w:pPr>
      <w:r>
        <w:rPr>
          <w:rFonts w:ascii="Arial" w:cs="Arial" w:eastAsia="Arial" w:hAnsi="Arial"/>
          <w:color w:val="2A2A2A"/>
          <w:sz w:val="36"/>
          <w:szCs w:val="36"/>
        </w:rPr>
        <w:t xml:space="preserve">Design Phase — Sign-Off</w:t>
      </w:r>
    </w:p>
    <w:p>
      <w:pPr>
        <w:spacing w:after="60"/>
        <w:jc w:val="center"/>
      </w:pPr>
      <w:r>
        <w:rPr>
          <w:rFonts w:ascii="Arial" w:cs="Arial" w:eastAsia="Arial" w:hAnsi="Arial"/>
          <w:color w:val="5F5F5F"/>
          <w:sz w:val="26"/>
          <w:szCs w:val="26"/>
        </w:rPr>
        <w:t xml:space="preserve">Round 3 review and handoff to development</w:t>
      </w:r>
    </w:p>
    <w:p>
      <w:pPr>
        <w:spacing w:after="480"/>
        <w:jc w:val="center"/>
      </w:pPr>
      <w:r>
        <w:rPr>
          <w:rFonts w:ascii="Arial" w:cs="Arial" w:eastAsia="Arial" w:hAnsi="Arial"/>
          <w:i/>
          <w:iCs/>
          <w:color w:val="888888"/>
          <w:sz w:val="22"/>
          <w:szCs w:val="22"/>
        </w:rPr>
        <w:t xml:space="preserve">May 2026</w:t>
      </w:r>
    </w:p>
    <w:p>
      <w:pPr>
        <w:spacing w:after="120"/>
        <w:jc w:val="center"/>
      </w:pPr>
      <w:r>
        <w:rPr>
          <w:rFonts w:ascii="Arial" w:cs="Arial" w:eastAsia="Arial" w:hAnsi="Arial"/>
          <w:color w:val="3C3C3C"/>
          <w:sz w:val="24"/>
          <w:szCs w:val="24"/>
        </w:rPr>
        <w:t xml:space="preserve">Three rounds. Three deliveries.</w:t>
      </w:r>
    </w:p>
    <w:p>
      <w:pPr>
        <w:spacing w:after="1000"/>
        <w:jc w:val="center"/>
      </w:pPr>
      <w:r>
        <w:rPr>
          <w:rFonts w:ascii="Arial" w:cs="Arial" w:eastAsia="Arial" w:hAnsi="Arial"/>
          <w:color w:val="3C3C3C"/>
          <w:sz w:val="24"/>
          <w:szCs w:val="24"/>
        </w:rPr>
        <w:t xml:space="preserve">Design phase complete. Development begins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Project</w:t>
            </w:r>
          </w:p>
        </w:tc>
        <w:tc>
          <w:tcPr>
            <w:tcW w:type="dxa" w:w="6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LeaseWise Canada — automotive lease intelligence platform</w:t>
            </w:r>
          </w:p>
        </w:tc>
      </w:tr>
      <w:tr>
        <w:tc>
          <w:tcPr>
            <w:tcW w:type="dxa" w:w="26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Owner</w:t>
            </w:r>
          </w:p>
        </w:tc>
        <w:tc>
          <w:tcPr>
            <w:tcW w:type="dxa" w:w="6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Erik Brisson</w:t>
            </w:r>
          </w:p>
        </w:tc>
      </w:tr>
      <w:tr>
        <w:tc>
          <w:tcPr>
            <w:tcW w:type="dxa" w:w="26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Designer</w:t>
            </w:r>
          </w:p>
        </w:tc>
        <w:tc>
          <w:tcPr>
            <w:tcW w:type="dxa" w:w="6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Claude Design — three-round engagement</w:t>
            </w:r>
          </w:p>
        </w:tc>
      </w:tr>
      <w:tr>
        <w:tc>
          <w:tcPr>
            <w:tcW w:type="dxa" w:w="26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Verdict</w:t>
            </w:r>
          </w:p>
        </w:tc>
        <w:tc>
          <w:tcPr>
            <w:tcW w:type="dxa" w:w="6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Sign-off — handoff to development phase</w:t>
            </w:r>
          </w:p>
        </w:tc>
      </w:tr>
      <w:tr>
        <w:tc>
          <w:tcPr>
            <w:tcW w:type="dxa" w:w="26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Next milestone</w:t>
            </w:r>
          </w:p>
        </w:tc>
        <w:tc>
          <w:tcPr>
            <w:tcW w:type="dxa" w:w="6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Azure environment provisioning + Phase 1 build</w:t>
            </w:r>
          </w:p>
        </w:tc>
      </w:tr>
    </w:tbl>
    <w:p>
      <w:r>
        <w:br w:type="page"/>
      </w:r>
    </w:p>
    <w:p>
      <w:pPr>
        <w:pStyle w:val="Heading1"/>
        <w:spacing w:after="200" w:before="240"/>
      </w:pPr>
      <w:r>
        <w:rPr>
          <w:rFonts w:ascii="Arial" w:cs="Arial" w:eastAsia="Arial" w:hAnsi="Arial"/>
          <w:b/>
          <w:bCs/>
          <w:color w:val="0A0A0A"/>
          <w:sz w:val="40"/>
          <w:szCs w:val="40"/>
        </w:rPr>
        <w:t xml:space="preserve">1. Round 3 Review</w:t>
      </w:r>
    </w:p>
    <w:p>
      <w:pPr>
        <w:spacing w:after="140"/>
      </w:pPr>
      <w:r>
        <w:rPr>
          <w:rFonts w:ascii="Arial" w:cs="Arial" w:eastAsia="Arial" w:hAnsi="Arial"/>
          <w:color w:val="3C3C3C"/>
          <w:sz w:val="22"/>
          <w:szCs w:val="22"/>
        </w:rPr>
        <w:t xml:space="preserve">All three round 3 deliverables landed. Two were exceptional. One was technically completed but exposes a small gap that the development phase will need to close. Below: deliverable-by-deliverable verdict.</w:t>
      </w:r>
    </w:p>
    <w:p/>
    <w:p>
      <w:pPr>
        <w:pStyle w:val="Heading2"/>
        <w:spacing w:after="140" w:before="360"/>
      </w:pPr>
      <w:r>
        <w:rPr>
          <w:rFonts w:ascii="Arial" w:cs="Arial" w:eastAsia="Arial" w:hAnsi="Arial"/>
          <w:b/>
          <w:bCs/>
          <w:color w:val="0A0A0A"/>
          <w:sz w:val="30"/>
          <w:szCs w:val="30"/>
        </w:rPr>
        <w:t xml:space="preserve">1.1 Item 1 — Theme cascade fix</w:t>
      </w:r>
    </w:p>
    <w:p/>
    <w:p>
      <w:pPr>
        <w:spacing w:after="60"/>
      </w:pPr>
      <w:r>
        <w:rPr>
          <w:rFonts w:ascii="Arial" w:cs="Arial" w:eastAsia="Arial" w:hAnsi="Arial"/>
          <w:b/>
          <w:bCs/>
          <w:color w:val="0A0A0A"/>
          <w:sz w:val="22"/>
          <w:szCs w:val="22"/>
        </w:rPr>
        <w:t xml:space="preserve">Status: </w:t>
      </w:r>
      <w:r>
        <w:rPr>
          <w:rFonts w:ascii="Arial" w:cs="Arial" w:eastAsia="Arial" w:hAnsi="Arial"/>
          <w:color w:val="3C3C3C"/>
          <w:sz w:val="22"/>
          <w:szCs w:val="22"/>
        </w:rPr>
        <w:t xml:space="preserve">Partially complete</w:t>
      </w:r>
    </w:p>
    <w:p>
      <w:pPr>
        <w:spacing w:after="60"/>
      </w:pPr>
      <w:r>
        <w:rPr>
          <w:rFonts w:ascii="Arial" w:cs="Arial" w:eastAsia="Arial" w:hAnsi="Arial"/>
          <w:b/>
          <w:bCs/>
          <w:color w:val="0A0A0A"/>
          <w:sz w:val="22"/>
          <w:szCs w:val="22"/>
        </w:rPr>
        <w:t xml:space="preserve">CSS fix: </w:t>
      </w:r>
      <w:r>
        <w:rPr>
          <w:rFonts w:ascii="Arial" w:cs="Arial" w:eastAsia="Arial" w:hAnsi="Arial"/>
          <w:color w:val="3C3C3C"/>
          <w:sz w:val="22"/>
          <w:szCs w:val="22"/>
        </w:rPr>
        <w:t xml:space="preserve">Applied correctly to tokens.css with a clear comment</w:t>
      </w:r>
    </w:p>
    <w:p>
      <w:pPr>
        <w:spacing w:after="60"/>
      </w:pPr>
      <w:r>
        <w:rPr>
          <w:rFonts w:ascii="Arial" w:cs="Arial" w:eastAsia="Arial" w:hAnsi="Arial"/>
          <w:b/>
          <w:bCs/>
          <w:color w:val="0A0A0A"/>
          <w:sz w:val="22"/>
          <w:szCs w:val="22"/>
        </w:rPr>
        <w:t xml:space="preserve">Visual outcome: </w:t>
      </w:r>
      <w:r>
        <w:rPr>
          <w:rFonts w:ascii="Arial" w:cs="Arial" w:eastAsia="Arial" w:hAnsi="Arial"/>
          <w:color w:val="3C3C3C"/>
          <w:sz w:val="22"/>
          <w:szCs w:val="22"/>
        </w:rPr>
        <w:t xml:space="preserve">System pages still render with extremely faint section labels</w:t>
      </w:r>
    </w:p>
    <w:p/>
    <w:p>
      <w:pPr>
        <w:spacing w:after="140"/>
      </w:pPr>
      <w:r>
        <w:rPr>
          <w:rFonts w:ascii="Arial" w:cs="Arial" w:eastAsia="Arial" w:hAnsi="Arial"/>
          <w:color w:val="3C3C3C"/>
          <w:sz w:val="22"/>
          <w:szCs w:val="22"/>
        </w:rPr>
        <w:t xml:space="preserve">The CSS block I provided was added verbatim to tokens.css with a comment explaining the purpose: "Light theme — re-asserts the :root defaults so dark contexts can opt back into light locally (e.g. system pages embedded inside a dark canvas)."</w:t>
      </w:r>
    </w:p>
    <w:p/>
    <w:p>
      <w:pPr>
        <w:spacing w:after="140"/>
      </w:pPr>
      <w:r>
        <w:rPr>
          <w:rFonts w:ascii="Arial" w:cs="Arial" w:eastAsia="Arial" w:hAnsi="Arial"/>
          <w:color w:val="3C3C3C"/>
          <w:sz w:val="22"/>
          <w:szCs w:val="22"/>
        </w:rPr>
        <w:t xml:space="preserve">However, the system pages (Sources, Component states, Iconography, Logo system) still render with the same visible faintness as round 2. Pixel-by-pixel diff confirms the artboards are unchanged. Investigation reveals why: the components contain hardcoded inline color values like rgba(255, 255, 255, 0.4) on section labels and metadata, which bypass the CSS custom property system entirely. The theme variables now flip correctly, but the hardcoded white-with-alpha values do not respond to data-theme switches.</w:t>
      </w:r>
    </w:p>
    <w:p/>
    <w:p>
      <w:pPr>
        <w:pBdr>
          <w:top w:val="none" w:color="auto" w:sz="0"/>
          <w:left w:val="single" w:color="C4F042" w:sz="24" w:space="12"/>
          <w:bottom w:val="none" w:color="auto" w:sz="0"/>
          <w:right w:val="none" w:color="auto" w:sz="0"/>
        </w:pBdr>
        <w:spacing w:after="100" w:before="100"/>
        <w:ind w:left="480"/>
      </w:pPr>
      <w:r>
        <w:rPr>
          <w:rFonts w:ascii="Arial" w:cs="Arial" w:eastAsia="Arial" w:hAnsi="Arial"/>
          <w:b/>
          <w:bCs/>
          <w:color w:val="0A0A0A"/>
          <w:sz w:val="22"/>
          <w:szCs w:val="22"/>
        </w:rPr>
        <w:t xml:space="preserve">The honest read: </w:t>
      </w:r>
      <w:r>
        <w:rPr>
          <w:rFonts w:ascii="Arial" w:cs="Arial" w:eastAsia="Arial" w:hAnsi="Arial"/>
          <w:color w:val="3C3C3C"/>
          <w:sz w:val="22"/>
          <w:szCs w:val="22"/>
        </w:rPr>
        <w:t xml:space="preserve">The fix I prescribed was incomplete. The right fix needed two parts — the CSS variable cascade (which is done) AND an audit of round2-system.jsx to replace hardcoded rgba(255,255,255,X) values with semantic tokens. The designer applied my fix exactly. The remaining work is on the development side and can be folded into the implementation pass.</w:t>
      </w:r>
    </w:p>
    <w:p/>
    <w:p>
      <w:pPr>
        <w:spacing w:after="140"/>
      </w:pPr>
      <w:r>
        <w:rPr>
          <w:rFonts w:ascii="Arial" w:cs="Arial" w:eastAsia="Arial" w:hAnsi="Arial"/>
          <w:color w:val="3C3C3C"/>
          <w:sz w:val="22"/>
          <w:szCs w:val="22"/>
        </w:rPr>
        <w:t xml:space="preserve">Action: development phase will replace the hardcoded values during component implementation. Not a blocker for sign-off because the actual production light-mode pages (Light · Homepage, Light · Calculator) render correctly — the issue only affects the design system showcase pages, which are reference material rather than production surfaces.</w:t>
      </w:r>
    </w:p>
    <w:p/>
    <w:p>
      <w:pPr>
        <w:pStyle w:val="Heading2"/>
        <w:spacing w:after="140" w:before="360"/>
      </w:pPr>
      <w:r>
        <w:rPr>
          <w:rFonts w:ascii="Arial" w:cs="Arial" w:eastAsia="Arial" w:hAnsi="Arial"/>
          <w:b/>
          <w:bCs/>
          <w:color w:val="0A0A0A"/>
          <w:sz w:val="30"/>
          <w:szCs w:val="30"/>
        </w:rPr>
        <w:t xml:space="preserve">1.2 Item 2 — BMW brand page at full hi-fi</w:t>
      </w:r>
    </w:p>
    <w:p/>
    <w:p>
      <w:pPr>
        <w:spacing w:after="60"/>
      </w:pPr>
      <w:r>
        <w:rPr>
          <w:rFonts w:ascii="Arial" w:cs="Arial" w:eastAsia="Arial" w:hAnsi="Arial"/>
          <w:b/>
          <w:bCs/>
          <w:color w:val="0A0A0A"/>
          <w:sz w:val="22"/>
          <w:szCs w:val="22"/>
        </w:rPr>
        <w:t xml:space="preserve">Status: </w:t>
      </w:r>
      <w:r>
        <w:rPr>
          <w:rFonts w:ascii="Arial" w:cs="Arial" w:eastAsia="Arial" w:hAnsi="Arial"/>
          <w:color w:val="3C3C3C"/>
          <w:sz w:val="22"/>
          <w:szCs w:val="22"/>
        </w:rPr>
        <w:t xml:space="preserve">Complete and exceptional</w:t>
      </w:r>
    </w:p>
    <w:p>
      <w:pPr>
        <w:spacing w:after="60"/>
      </w:pPr>
      <w:r>
        <w:rPr>
          <w:rFonts w:ascii="Arial" w:cs="Arial" w:eastAsia="Arial" w:hAnsi="Arial"/>
          <w:b/>
          <w:bCs/>
          <w:color w:val="0A0A0A"/>
          <w:sz w:val="22"/>
          <w:szCs w:val="22"/>
        </w:rPr>
        <w:t xml:space="preserve">Sections delivered: </w:t>
      </w:r>
      <w:r>
        <w:rPr>
          <w:rFonts w:ascii="Arial" w:cs="Arial" w:eastAsia="Arial" w:hAnsi="Arial"/>
          <w:color w:val="3C3C3C"/>
          <w:sz w:val="22"/>
          <w:szCs w:val="22"/>
        </w:rPr>
        <w:t xml:space="preserve">8 (one more than the 7 specified)</w:t>
      </w:r>
    </w:p>
    <w:p>
      <w:pPr>
        <w:spacing w:after="60"/>
      </w:pPr>
      <w:r>
        <w:rPr>
          <w:rFonts w:ascii="Arial" w:cs="Arial" w:eastAsia="Arial" w:hAnsi="Arial"/>
          <w:b/>
          <w:bCs/>
          <w:color w:val="0A0A0A"/>
          <w:sz w:val="22"/>
          <w:szCs w:val="22"/>
        </w:rPr>
        <w:t xml:space="preserve">Length: </w:t>
      </w:r>
      <w:r>
        <w:rPr>
          <w:rFonts w:ascii="Arial" w:cs="Arial" w:eastAsia="Arial" w:hAnsi="Arial"/>
          <w:color w:val="3C3C3C"/>
          <w:sz w:val="22"/>
          <w:szCs w:val="22"/>
        </w:rPr>
        <w:t xml:space="preserve">~3,470px tall — full-page scroll experience</w:t>
      </w:r>
    </w:p>
    <w:p/>
    <w:p>
      <w:pPr>
        <w:spacing w:after="140"/>
      </w:pPr>
      <w:r>
        <w:rPr>
          <w:rFonts w:ascii="Arial" w:cs="Arial" w:eastAsia="Arial" w:hAnsi="Arial"/>
          <w:color w:val="3C3C3C"/>
          <w:sz w:val="22"/>
          <w:szCs w:val="22"/>
        </w:rPr>
        <w:t xml:space="preserve">This is the strongest single deliverable of the entire design phase. Every section is substantively executed.</w:t>
      </w:r>
    </w:p>
    <w:p/>
    <w:p>
      <w:pPr>
        <w:pStyle w:val="Heading3"/>
        <w:spacing w:after="100" w:before="240"/>
      </w:pPr>
      <w:r>
        <w:rPr>
          <w:rFonts w:ascii="Arial" w:cs="Arial" w:eastAsia="Arial" w:hAnsi="Arial"/>
          <w:b/>
          <w:bCs/>
          <w:color w:val="2A2A2A"/>
          <w:sz w:val="24"/>
          <w:szCs w:val="24"/>
        </w:rPr>
        <w:t xml:space="preserve">Section-by-section</w:t>
      </w:r>
    </w:p>
    <w:p/>
    <w:p>
      <w:pPr>
        <w:pStyle w:val="ListParagraph"/>
        <w:numPr>
          <w:ilvl w:val="0"/>
          <w:numId w:val="2"/>
        </w:numPr>
        <w:spacing w:after="80"/>
      </w:pPr>
      <w:r>
        <w:rPr>
          <w:rFonts w:ascii="Arial" w:cs="Arial" w:eastAsia="Arial" w:hAnsi="Arial"/>
          <w:color w:val="3C3C3C"/>
          <w:sz w:val="22"/>
          <w:szCs w:val="22"/>
        </w:rPr>
        <w:t xml:space="preserve">Section 01 — Hero: preserved exactly from round 1 as instructed. Giant "BMW." wordmark, three-sentence brand thesis ending with "Money factor markup is the single biggest hidden cost." in bold.</w:t>
      </w:r>
    </w:p>
    <w:p>
      <w:pPr>
        <w:pStyle w:val="ListParagraph"/>
        <w:numPr>
          <w:ilvl w:val="0"/>
          <w:numId w:val="2"/>
        </w:numPr>
        <w:spacing w:after="80"/>
      </w:pPr>
      <w:r>
        <w:rPr>
          <w:rFonts w:ascii="Arial" w:cs="Arial" w:eastAsia="Arial" w:hAnsi="Arial"/>
          <w:color w:val="3C3C3C"/>
          <w:sz w:val="22"/>
          <w:szCs w:val="22"/>
        </w:rPr>
        <w:t xml:space="preserve">Section 02 — Captive lender narrative: a substantive paragraph explaining BMW Financial Services Canada Corp., the monthly program reset cadence (programs published to dealers 3-5 days before the 1st), the standard 39-month subvented term with graduated residual ("creeps up by 1% every 6 months as the model year ages out"), the per-province acquisition fee structure ($675 in AB/ON/BC, $725 in QC), and the 50 bps MF markup cap. Six fact cards in mono on the right (Term, Acquisition Fee, Disposition Fee, MF Markup Cap, KM Standard, Wear Allowance).</w:t>
      </w:r>
    </w:p>
    <w:p>
      <w:pPr>
        <w:pStyle w:val="ListParagraph"/>
        <w:numPr>
          <w:ilvl w:val="0"/>
          <w:numId w:val="2"/>
        </w:numPr>
        <w:spacing w:after="80"/>
      </w:pPr>
      <w:r>
        <w:rPr>
          <w:rFonts w:ascii="Arial" w:cs="Arial" w:eastAsia="Arial" w:hAnsi="Arial"/>
          <w:color w:val="3C3C3C"/>
          <w:sz w:val="22"/>
          <w:szCs w:val="22"/>
        </w:rPr>
        <w:t xml:space="preserve">Section 03 — 18-month program history: a single combined chart with rate (lime line) and residual (dotted line), proper Y-axis labels, current-month value markers (3.99% and 60% at the right edge). Below the chart, an editorial "Read:" callout: "The April 2026 50-bps cut is the steepest single-month move in 18 months. Historically tied to Q2 push for inventory turn ahead of summer. The April rate is a tactical low — expect May to revert to ~4.49% unless inventory pressure persists." This is the kind of insight that distinguishes LeaseWise from a comparison tool — it tells the user what to do with the data.</w:t>
      </w:r>
    </w:p>
    <w:p>
      <w:pPr>
        <w:pStyle w:val="ListParagraph"/>
        <w:numPr>
          <w:ilvl w:val="0"/>
          <w:numId w:val="2"/>
        </w:numPr>
        <w:spacing w:after="80"/>
      </w:pPr>
      <w:r>
        <w:rPr>
          <w:rFonts w:ascii="Arial" w:cs="Arial" w:eastAsia="Arial" w:hAnsi="Arial"/>
          <w:color w:val="3C3C3C"/>
          <w:sz w:val="22"/>
          <w:szCs w:val="22"/>
        </w:rPr>
        <w:t xml:space="preserve">Section 04 — Negotiation profile: three columns — WHAT WORKS (lime header), WHAT DOESN'T (blood-orange), DEALER CULTURE (slate). Content is genuine domain expertise: "Quote money factor, not APR. Always demand the buy rate in writing — BMW dealers respect the terminology and most will drop markup if you name it." The DEALER CULTURE column even captures regional intelligence: "Calgary and Vancouver stores tend to be the most flexible on MF; Toronto stores hold firm but stack incentives more aggressively."</w:t>
      </w:r>
    </w:p>
    <w:p>
      <w:pPr>
        <w:pStyle w:val="ListParagraph"/>
        <w:numPr>
          <w:ilvl w:val="0"/>
          <w:numId w:val="2"/>
        </w:numPr>
        <w:spacing w:after="80"/>
      </w:pPr>
      <w:r>
        <w:rPr>
          <w:rFonts w:ascii="Arial" w:cs="Arial" w:eastAsia="Arial" w:hAnsi="Arial"/>
          <w:color w:val="3C3C3C"/>
          <w:sz w:val="22"/>
          <w:szCs w:val="22"/>
        </w:rPr>
        <w:t xml:space="preserve">Section 05 — Deal benchmarks: histogram of 46 anonymized leases across $40 price bands, with the lime bar highlighting the Top 10% and the white bar at the median ($720-760, n=14). Four summary cards below (sample size, median, top 10% threshold, P10-P90 spread of $184/mo). The filter "Western Canada (AB/BC/SK), all 39-month/16k-km" is rigorous enough to make the comparison apples-to-apples.</w:t>
      </w:r>
    </w:p>
    <w:p>
      <w:pPr>
        <w:pStyle w:val="ListParagraph"/>
        <w:numPr>
          <w:ilvl w:val="0"/>
          <w:numId w:val="2"/>
        </w:numPr>
        <w:spacing w:after="80"/>
      </w:pPr>
      <w:r>
        <w:rPr>
          <w:rFonts w:ascii="Arial" w:cs="Arial" w:eastAsia="Arial" w:hAnsi="Arial"/>
          <w:color w:val="3C3C3C"/>
          <w:sz w:val="22"/>
          <w:szCs w:val="22"/>
        </w:rPr>
        <w:t xml:space="preserve">Section 06 — F&amp;I considerations: structured table of five products, each with a description and a colour-coded action chip (DECLINE, CONSIDER, USE). Each description is concrete and useful: "BMW Ultimate Care Plus — Refundable on most lease contracts within 30 days. Decline at signing — buy direct from the dealer at month 30 for 60-70% of F&amp;I price if you want it." That single tip saves a user $1,000 on signing day.</w:t>
      </w:r>
    </w:p>
    <w:p>
      <w:pPr>
        <w:pStyle w:val="ListParagraph"/>
        <w:numPr>
          <w:ilvl w:val="0"/>
          <w:numId w:val="2"/>
        </w:numPr>
        <w:spacing w:after="80"/>
      </w:pPr>
      <w:r>
        <w:rPr>
          <w:rFonts w:ascii="Arial" w:cs="Arial" w:eastAsia="Arial" w:hAnsi="Arial"/>
          <w:color w:val="3C3C3C"/>
          <w:sz w:val="22"/>
          <w:szCs w:val="22"/>
        </w:rPr>
        <w:t xml:space="preserve">Section 07 — Recent community discussions: four threads with brand/province tags, "solved" status badges, realistic Canadian thread titles, realistic usernames. Designer named the BMW forum sub-section "Bavarian Lounge" — not in the brief, but exactly the kind of community-flavored detail that makes a forum feel real.</w:t>
      </w:r>
    </w:p>
    <w:p>
      <w:pPr>
        <w:pStyle w:val="ListParagraph"/>
        <w:numPr>
          <w:ilvl w:val="0"/>
          <w:numId w:val="2"/>
        </w:numPr>
        <w:spacing w:after="80"/>
      </w:pPr>
      <w:r>
        <w:rPr>
          <w:rFonts w:ascii="Arial" w:cs="Arial" w:eastAsia="Arial" w:hAnsi="Arial"/>
          <w:color w:val="3C3C3C"/>
          <w:sz w:val="22"/>
          <w:szCs w:val="22"/>
        </w:rPr>
        <w:t xml:space="preserve">Section 08 — Monthly programs archive: 8-month table with the current month highlighted via lime "CURRENT" badge and lime rate value. Realistic month-over-month variation (rate stepping between 3.99% and 4.99%, residual creeping from 58% to 59%, term steady at 39 months). Source attribution at the bottom: "BMW Financial Services Canada dealer bulletins · cross-verified against community uploads · re-synced daily."</w:t>
      </w:r>
    </w:p>
    <w:p/>
    <w:p>
      <w:pPr>
        <w:pStyle w:val="Heading3"/>
        <w:spacing w:after="100" w:before="240"/>
      </w:pPr>
      <w:r>
        <w:rPr>
          <w:rFonts w:ascii="Arial" w:cs="Arial" w:eastAsia="Arial" w:hAnsi="Arial"/>
          <w:b/>
          <w:bCs/>
          <w:color w:val="2A2A2A"/>
          <w:sz w:val="24"/>
          <w:szCs w:val="24"/>
        </w:rPr>
        <w:t xml:space="preserve">What this page does for the project</w:t>
      </w:r>
    </w:p>
    <w:p>
      <w:pPr>
        <w:spacing w:after="140"/>
      </w:pPr>
      <w:r>
        <w:rPr>
          <w:rFonts w:ascii="Arial" w:cs="Arial" w:eastAsia="Arial" w:hAnsi="Arial"/>
          <w:color w:val="3C3C3C"/>
          <w:sz w:val="22"/>
          <w:szCs w:val="22"/>
        </w:rPr>
        <w:t xml:space="preserve">It establishes the canonical brand-page template that every other brand will use. The composition is rigorous, scannable, and information-dense without feeling overwhelming. A user landing on this page from a Google search for "BMW lease deal Canada" gets more useful information in 30 seconds than they would from an hour of forum reading — and they get it from a source that visibly shows where the data came from.</w:t>
      </w:r>
    </w:p>
    <w:p/>
    <w:p>
      <w:pPr>
        <w:pBdr>
          <w:top w:val="none" w:color="auto" w:sz="0"/>
          <w:left w:val="single" w:color="C4F042" w:sz="24" w:space="12"/>
          <w:bottom w:val="none" w:color="auto" w:sz="0"/>
          <w:right w:val="none" w:color="auto" w:sz="0"/>
        </w:pBdr>
        <w:spacing w:after="100" w:before="100"/>
        <w:ind w:left="480"/>
      </w:pPr>
      <w:r>
        <w:rPr>
          <w:rFonts w:ascii="Arial" w:cs="Arial" w:eastAsia="Arial" w:hAnsi="Arial"/>
          <w:b/>
          <w:bCs/>
          <w:color w:val="0A0A0A"/>
          <w:sz w:val="22"/>
          <w:szCs w:val="22"/>
        </w:rPr>
        <w:t xml:space="preserve">Verdict: </w:t>
      </w:r>
      <w:r>
        <w:rPr>
          <w:rFonts w:ascii="Arial" w:cs="Arial" w:eastAsia="Arial" w:hAnsi="Arial"/>
          <w:color w:val="3C3C3C"/>
          <w:sz w:val="22"/>
          <w:szCs w:val="22"/>
        </w:rPr>
        <w:t xml:space="preserve">This is a P0 deliverable that exceeded the brief. Lock the template and use it as the spec for Mercedes-Benz, Audi, Lexus, and Toyota in Phase 2.</w:t>
      </w:r>
    </w:p>
    <w:p/>
    <w:p>
      <w:pPr>
        <w:pStyle w:val="Heading2"/>
        <w:spacing w:after="140" w:before="360"/>
      </w:pPr>
      <w:r>
        <w:rPr>
          <w:rFonts w:ascii="Arial" w:cs="Arial" w:eastAsia="Arial" w:hAnsi="Arial"/>
          <w:b/>
          <w:bCs/>
          <w:color w:val="0A0A0A"/>
          <w:sz w:val="30"/>
          <w:szCs w:val="30"/>
        </w:rPr>
        <w:t xml:space="preserve">1.3 Item 3 — Mobile thread detail</w:t>
      </w:r>
    </w:p>
    <w:p/>
    <w:p>
      <w:pPr>
        <w:spacing w:after="60"/>
      </w:pPr>
      <w:r>
        <w:rPr>
          <w:rFonts w:ascii="Arial" w:cs="Arial" w:eastAsia="Arial" w:hAnsi="Arial"/>
          <w:b/>
          <w:bCs/>
          <w:color w:val="0A0A0A"/>
          <w:sz w:val="22"/>
          <w:szCs w:val="22"/>
        </w:rPr>
        <w:t xml:space="preserve">Status: </w:t>
      </w:r>
      <w:r>
        <w:rPr>
          <w:rFonts w:ascii="Arial" w:cs="Arial" w:eastAsia="Arial" w:hAnsi="Arial"/>
          <w:color w:val="3C3C3C"/>
          <w:sz w:val="22"/>
          <w:szCs w:val="22"/>
        </w:rPr>
        <w:t xml:space="preserve">Complete and exceptional</w:t>
      </w:r>
    </w:p>
    <w:p>
      <w:pPr>
        <w:spacing w:after="60"/>
      </w:pPr>
      <w:r>
        <w:rPr>
          <w:rFonts w:ascii="Arial" w:cs="Arial" w:eastAsia="Arial" w:hAnsi="Arial"/>
          <w:b/>
          <w:bCs/>
          <w:color w:val="0A0A0A"/>
          <w:sz w:val="22"/>
          <w:szCs w:val="22"/>
        </w:rPr>
        <w:t xml:space="preserve">Reference thread: </w:t>
      </w:r>
      <w:r>
        <w:rPr>
          <w:rFonts w:ascii="Arial" w:cs="Arial" w:eastAsia="Arial" w:hAnsi="Arial"/>
          <w:color w:val="3C3C3C"/>
          <w:sz w:val="22"/>
          <w:szCs w:val="22"/>
        </w:rPr>
        <w:t xml:space="preserve">Used "X3 30i Calgary — dealer holding 92 days, do I lowball?" as specified</w:t>
      </w:r>
    </w:p>
    <w:p>
      <w:pPr>
        <w:spacing w:after="60"/>
      </w:pPr>
      <w:r>
        <w:rPr>
          <w:rFonts w:ascii="Arial" w:cs="Arial" w:eastAsia="Arial" w:hAnsi="Arial"/>
          <w:b/>
          <w:bCs/>
          <w:color w:val="0A0A0A"/>
          <w:sz w:val="22"/>
          <w:szCs w:val="22"/>
        </w:rPr>
        <w:t xml:space="preserve">Replies shown: </w:t>
      </w:r>
      <w:r>
        <w:rPr>
          <w:rFonts w:ascii="Arial" w:cs="Arial" w:eastAsia="Arial" w:hAnsi="Arial"/>
          <w:color w:val="3C3C3C"/>
          <w:sz w:val="22"/>
          <w:szCs w:val="22"/>
        </w:rPr>
        <w:t xml:space="preserve">Two — both substantive and domain-correct</w:t>
      </w:r>
    </w:p>
    <w:p/>
    <w:p>
      <w:pPr>
        <w:spacing w:after="140"/>
      </w:pPr>
      <w:r>
        <w:rPr>
          <w:rFonts w:ascii="Arial" w:cs="Arial" w:eastAsia="Arial" w:hAnsi="Arial"/>
          <w:color w:val="3C3C3C"/>
          <w:sz w:val="22"/>
          <w:szCs w:val="22"/>
        </w:rPr>
        <w:t xml:space="preserve">Mobile forum thread at 375px, no device frame. Header chrome (back button, LeaseWise wordmark centred, search), breadcrumb (Community / BMW / X3 30i Calgary…), thread title at full width, three tags (BMW, AB highlighted as user's province in lime, "negotiation"), thread metadata in mono (by yyc_lease · 4h ago · 67 replies · 1.4k views · last 12m).</w:t>
      </w:r>
    </w:p>
    <w:p/>
    <w:p>
      <w:pPr>
        <w:pStyle w:val="Heading3"/>
        <w:spacing w:after="100" w:before="240"/>
      </w:pPr>
      <w:r>
        <w:rPr>
          <w:rFonts w:ascii="Arial" w:cs="Arial" w:eastAsia="Arial" w:hAnsi="Arial"/>
          <w:b/>
          <w:bCs/>
          <w:color w:val="2A2A2A"/>
          <w:sz w:val="24"/>
          <w:szCs w:val="24"/>
        </w:rPr>
        <w:t xml:space="preserve">OP post structure</w:t>
      </w:r>
    </w:p>
    <w:p>
      <w:pPr>
        <w:spacing w:after="140"/>
      </w:pPr>
      <w:r>
        <w:rPr>
          <w:rFonts w:ascii="Arial" w:cs="Arial" w:eastAsia="Arial" w:hAnsi="Arial"/>
          <w:color w:val="3C3C3C"/>
          <w:sz w:val="22"/>
          <w:szCs w:val="22"/>
        </w:rPr>
        <w:t xml:space="preserve">The OP composition is canonical — context paragraph, then a code-block-style worksheet with the actual numbers (MSRP $62,400, Asking $58,900, Days on lot 92 in lime alert color, Term/KM/MF), then the question. This is exactly how a real LeaseHackr or RedFlagDeals lease post is structured. The "OP" badge in lime next to the username is a small but correct touch.</w:t>
      </w:r>
    </w:p>
    <w:p/>
    <w:p>
      <w:pPr>
        <w:pStyle w:val="Heading3"/>
        <w:spacing w:after="100" w:before="240"/>
      </w:pPr>
      <w:r>
        <w:rPr>
          <w:rFonts w:ascii="Arial" w:cs="Arial" w:eastAsia="Arial" w:hAnsi="Arial"/>
          <w:b/>
          <w:bCs/>
          <w:color w:val="2A2A2A"/>
          <w:sz w:val="24"/>
          <w:szCs w:val="24"/>
        </w:rPr>
        <w:t xml:space="preserve">Reply quality</w:t>
      </w:r>
    </w:p>
    <w:p>
      <w:pPr>
        <w:spacing w:after="140"/>
      </w:pPr>
      <w:r>
        <w:rPr>
          <w:rFonts w:ascii="Arial" w:cs="Arial" w:eastAsia="Arial" w:hAnsi="Arial"/>
          <w:color w:val="3C3C3C"/>
          <w:sz w:val="22"/>
          <w:szCs w:val="22"/>
        </w:rPr>
        <w:t xml:space="preserve">The first reply by ab_skeptic is *substantive and correct*: "92 DOL is real pressure but don't get cute. Counter at $57,200 selling, hold the MF at .00166, and demand both loyalty AND conquest stacked. If they balk on conquest, walk — there's a similar X3 at Calgary BMW South sitting 78 days. Lowballing $2,400 below asking on a $62k car is the kind of thing that loses you the deal even when the dealer needs the unit gone."</w:t>
      </w:r>
    </w:p>
    <w:p/>
    <w:p>
      <w:pPr>
        <w:spacing w:after="140"/>
      </w:pPr>
      <w:r>
        <w:rPr>
          <w:rFonts w:ascii="Arial" w:cs="Arial" w:eastAsia="Arial" w:hAnsi="Arial"/>
          <w:color w:val="3C3C3C"/>
          <w:sz w:val="22"/>
          <w:szCs w:val="22"/>
        </w:rPr>
        <w:t xml:space="preserve">That reply demonstrates competitor inventory reference, specific MF retention, a coherent counter-offer with reasoning, and a warning against over-aggressive lowballing. It reads like a real expert response, not generic placeholder content.</w:t>
      </w:r>
    </w:p>
    <w:p/>
    <w:p>
      <w:pPr>
        <w:pStyle w:val="Heading3"/>
        <w:spacing w:after="100" w:before="240"/>
      </w:pPr>
      <w:r>
        <w:rPr>
          <w:rFonts w:ascii="Arial" w:cs="Arial" w:eastAsia="Arial" w:hAnsi="Arial"/>
          <w:b/>
          <w:bCs/>
          <w:color w:val="2A2A2A"/>
          <w:sz w:val="24"/>
          <w:szCs w:val="24"/>
        </w:rPr>
        <w:t xml:space="preserve">Reply composer</w:t>
      </w:r>
    </w:p>
    <w:p>
      <w:pPr>
        <w:spacing w:after="140"/>
      </w:pPr>
      <w:r>
        <w:rPr>
          <w:rFonts w:ascii="Arial" w:cs="Arial" w:eastAsia="Arial" w:hAnsi="Arial"/>
          <w:color w:val="3C3C3C"/>
          <w:sz w:val="22"/>
          <w:szCs w:val="22"/>
        </w:rPr>
        <w:t xml:space="preserve">Bottom of the screen — collapsed state, single "Reply..." input with a lime arrow send button. Tapping presumably expands. Correct mobile pattern.</w:t>
      </w:r>
    </w:p>
    <w:p/>
    <w:p>
      <w:pPr>
        <w:pBdr>
          <w:top w:val="none" w:color="auto" w:sz="0"/>
          <w:left w:val="single" w:color="C4F042" w:sz="24" w:space="12"/>
          <w:bottom w:val="none" w:color="auto" w:sz="0"/>
          <w:right w:val="none" w:color="auto" w:sz="0"/>
        </w:pBdr>
        <w:spacing w:after="100" w:before="100"/>
        <w:ind w:left="480"/>
      </w:pPr>
      <w:r>
        <w:rPr>
          <w:rFonts w:ascii="Arial" w:cs="Arial" w:eastAsia="Arial" w:hAnsi="Arial"/>
          <w:b/>
          <w:bCs/>
          <w:color w:val="0A0A0A"/>
          <w:sz w:val="22"/>
          <w:szCs w:val="22"/>
        </w:rPr>
        <w:t xml:space="preserve">Verdict: </w:t>
      </w:r>
      <w:r>
        <w:rPr>
          <w:rFonts w:ascii="Arial" w:cs="Arial" w:eastAsia="Arial" w:hAnsi="Arial"/>
          <w:color w:val="3C3C3C"/>
          <w:sz w:val="22"/>
          <w:szCs w:val="22"/>
        </w:rPr>
        <w:t xml:space="preserve">P1 deliverable, executed at P0 quality. The thread detail screen is the highest-engagement view in any forum product, and this design treats it with the gravity it deserves.</w:t>
      </w:r>
    </w:p>
    <w:p>
      <w:pPr>
        <w:pStyle w:val="Heading1"/>
        <w:pageBreakBefore/>
        <w:spacing w:after="200" w:before="480"/>
      </w:pPr>
      <w:r>
        <w:rPr>
          <w:rFonts w:ascii="Arial" w:cs="Arial" w:eastAsia="Arial" w:hAnsi="Arial"/>
          <w:b/>
          <w:bCs/>
          <w:color w:val="0A0A0A"/>
          <w:sz w:val="40"/>
          <w:szCs w:val="40"/>
        </w:rPr>
        <w:t xml:space="preserve">2. The Handoff Package</w:t>
      </w:r>
    </w:p>
    <w:p>
      <w:pPr>
        <w:spacing w:after="140"/>
      </w:pPr>
      <w:r>
        <w:rPr>
          <w:rFonts w:ascii="Arial" w:cs="Arial" w:eastAsia="Arial" w:hAnsi="Arial"/>
          <w:color w:val="3C3C3C"/>
          <w:sz w:val="22"/>
          <w:szCs w:val="22"/>
        </w:rPr>
        <w:t xml:space="preserve">Beyond the three round 3 deliverables, the designer also added a README.md to the zip that consolidates the entire engagement. This was unprompted and is genuinely useful.</w:t>
      </w:r>
    </w:p>
    <w:p/>
    <w:p>
      <w:pPr>
        <w:pStyle w:val="Heading2"/>
        <w:spacing w:after="140" w:before="360"/>
      </w:pPr>
      <w:r>
        <w:rPr>
          <w:rFonts w:ascii="Arial" w:cs="Arial" w:eastAsia="Arial" w:hAnsi="Arial"/>
          <w:b/>
          <w:bCs/>
          <w:color w:val="0A0A0A"/>
          <w:sz w:val="30"/>
          <w:szCs w:val="30"/>
        </w:rPr>
        <w:t xml:space="preserve">2.1 README contents</w:t>
      </w:r>
    </w:p>
    <w:p>
      <w:pPr>
        <w:spacing w:after="140"/>
      </w:pPr>
      <w:r>
        <w:rPr>
          <w:rFonts w:ascii="Arial" w:cs="Arial" w:eastAsia="Arial" w:hAnsi="Arial"/>
          <w:color w:val="3C3C3C"/>
          <w:sz w:val="22"/>
          <w:szCs w:val="22"/>
        </w:rPr>
        <w:t xml:space="preserve">The README documents:</w:t>
      </w:r>
    </w:p>
    <w:p>
      <w:pPr>
        <w:pStyle w:val="ListParagraph"/>
        <w:numPr>
          <w:ilvl w:val="0"/>
          <w:numId w:val="2"/>
        </w:numPr>
        <w:spacing w:after="80"/>
      </w:pPr>
      <w:r>
        <w:rPr>
          <w:rFonts w:ascii="Arial" w:cs="Arial" w:eastAsia="Arial" w:hAnsi="Arial"/>
          <w:color w:val="3C3C3C"/>
          <w:sz w:val="22"/>
          <w:szCs w:val="22"/>
        </w:rPr>
        <w:t xml:space="preserve">Where each piece of work lives across the file structure (index.html for round 1 live app, round2.html for the design canvas spanning rounds 2 and 3)</w:t>
      </w:r>
    </w:p>
    <w:p>
      <w:pPr>
        <w:pStyle w:val="ListParagraph"/>
        <w:numPr>
          <w:ilvl w:val="0"/>
          <w:numId w:val="2"/>
        </w:numPr>
        <w:spacing w:after="80"/>
      </w:pPr>
      <w:r>
        <w:rPr>
          <w:rFonts w:ascii="Arial" w:cs="Arial" w:eastAsia="Arial" w:hAnsi="Arial"/>
          <w:color w:val="3C3C3C"/>
          <w:sz w:val="22"/>
          <w:szCs w:val="22"/>
        </w:rPr>
        <w:t xml:space="preserve">Source map for every component to its file (e.g., calculator → calc.jsx, BMW full brand → round3.jsx → BMWFullBrand)</w:t>
      </w:r>
    </w:p>
    <w:p>
      <w:pPr>
        <w:pStyle w:val="ListParagraph"/>
        <w:numPr>
          <w:ilvl w:val="0"/>
          <w:numId w:val="2"/>
        </w:numPr>
        <w:spacing w:after="80"/>
      </w:pPr>
      <w:r>
        <w:rPr>
          <w:rFonts w:ascii="Arial" w:cs="Arial" w:eastAsia="Arial" w:hAnsi="Arial"/>
          <w:color w:val="3C3C3C"/>
          <w:sz w:val="22"/>
          <w:szCs w:val="22"/>
        </w:rPr>
        <w:t xml:space="preserve">A one-paragraph design system summary capturing the key constraints (dark-default, monetary values always in mono, lime as singular accent reserved for current programs and "good" outcomes)</w:t>
      </w:r>
    </w:p>
    <w:p>
      <w:pPr>
        <w:pStyle w:val="ListParagraph"/>
        <w:numPr>
          <w:ilvl w:val="0"/>
          <w:numId w:val="2"/>
        </w:numPr>
        <w:spacing w:after="80"/>
      </w:pPr>
      <w:r>
        <w:rPr>
          <w:rFonts w:ascii="Arial" w:cs="Arial" w:eastAsia="Arial" w:hAnsi="Arial"/>
          <w:color w:val="3C3C3C"/>
          <w:sz w:val="22"/>
          <w:szCs w:val="22"/>
        </w:rPr>
        <w:t xml:space="preserve">A "things that are intentional, not bugs" section calling out the no-emoji policy, the mono-numbers-mid-sentence rule, the confidence badges, and inline disclosure of paid placement</w:t>
      </w:r>
    </w:p>
    <w:p>
      <w:pPr>
        <w:pStyle w:val="ListParagraph"/>
        <w:numPr>
          <w:ilvl w:val="0"/>
          <w:numId w:val="2"/>
        </w:numPr>
        <w:spacing w:after="80"/>
      </w:pPr>
      <w:r>
        <w:rPr>
          <w:rFonts w:ascii="Arial" w:cs="Arial" w:eastAsia="Arial" w:hAnsi="Arial"/>
          <w:color w:val="3C3C3C"/>
          <w:sz w:val="22"/>
          <w:szCs w:val="22"/>
        </w:rPr>
        <w:t xml:space="preserve">Open items for the development phase (real BMW Financial Services data feed integration, community moderation queue empty states, native iOS/Android shells, AA accessibility audit on the lime-on-ink combo at body size)</w:t>
      </w:r>
    </w:p>
    <w:p>
      <w:pPr>
        <w:pStyle w:val="ListParagraph"/>
        <w:numPr>
          <w:ilvl w:val="0"/>
          <w:numId w:val="2"/>
        </w:numPr>
        <w:spacing w:after="80"/>
      </w:pPr>
      <w:r>
        <w:rPr>
          <w:rFonts w:ascii="Arial" w:cs="Arial" w:eastAsia="Arial" w:hAnsi="Arial"/>
          <w:color w:val="3C3C3C"/>
          <w:sz w:val="22"/>
          <w:szCs w:val="22"/>
        </w:rPr>
        <w:t xml:space="preserve">A design-tokens reference block in code-formatted text, ready to be copied into the development environment</w:t>
      </w:r>
    </w:p>
    <w:p/>
    <w:p>
      <w:pPr>
        <w:pBdr>
          <w:top w:val="none" w:color="auto" w:sz="0"/>
          <w:left w:val="single" w:color="C4F042" w:sz="24" w:space="12"/>
          <w:bottom w:val="none" w:color="auto" w:sz="0"/>
          <w:right w:val="none" w:color="auto" w:sz="0"/>
        </w:pBdr>
        <w:spacing w:after="100" w:before="100"/>
        <w:ind w:left="480"/>
      </w:pPr>
      <w:r>
        <w:rPr>
          <w:rFonts w:ascii="Arial" w:cs="Arial" w:eastAsia="Arial" w:hAnsi="Arial"/>
          <w:b/>
          <w:bCs/>
          <w:color w:val="0A0A0A"/>
          <w:sz w:val="22"/>
          <w:szCs w:val="22"/>
        </w:rPr>
        <w:t xml:space="preserve">What this enables: </w:t>
      </w:r>
      <w:r>
        <w:rPr>
          <w:rFonts w:ascii="Arial" w:cs="Arial" w:eastAsia="Arial" w:hAnsi="Arial"/>
          <w:color w:val="3C3C3C"/>
          <w:sz w:val="22"/>
          <w:szCs w:val="22"/>
        </w:rPr>
        <w:t xml:space="preserve">A developer joining the project can read the README in five minutes and know where to start. That's the test of a real handoff document.</w:t>
      </w:r>
    </w:p>
    <w:p/>
    <w:p>
      <w:pPr>
        <w:pStyle w:val="Heading2"/>
        <w:spacing w:after="140" w:before="360"/>
      </w:pPr>
      <w:r>
        <w:rPr>
          <w:rFonts w:ascii="Arial" w:cs="Arial" w:eastAsia="Arial" w:hAnsi="Arial"/>
          <w:b/>
          <w:bCs/>
          <w:color w:val="0A0A0A"/>
          <w:sz w:val="30"/>
          <w:szCs w:val="30"/>
        </w:rPr>
        <w:t xml:space="preserve">2.2 Total deliverable from the design phase</w:t>
      </w:r>
    </w:p>
    <w:p>
      <w:pPr>
        <w:spacing w:after="140"/>
      </w:pPr>
      <w:r>
        <w:rPr>
          <w:rFonts w:ascii="Arial" w:cs="Arial" w:eastAsia="Arial" w:hAnsi="Arial"/>
          <w:color w:val="3C3C3C"/>
          <w:sz w:val="22"/>
          <w:szCs w:val="22"/>
        </w:rPr>
        <w:t xml:space="preserve">Cumulative across all three rounds: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696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What was delivered</w:t>
            </w:r>
          </w:p>
        </w:tc>
      </w:tr>
      <w:tr>
        <w:tc>
          <w:tcPr>
            <w:tcW w:type="dxa" w:w="24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Documents</w:t>
            </w:r>
          </w:p>
        </w:tc>
        <w:tc>
          <w:tcPr>
            <w:tcW w:type="dxa" w:w="69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Design Specification v1.0 (1,062 paragraphs), Round 1 Review (384 paragraphs), Round 3 Polish Brief (193 paragraphs)</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Working code</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Round 1: full HTML/JSX/CSS for homepage, calculator, deal rater, brand, forum, mobile, tweaks panel. Round 2: state matrices, mobile artboards, system pages. Round 3: full BMW brand page, mobile thread detail, theme cascade fix.</w:t>
            </w:r>
          </w:p>
        </w:tc>
      </w:tr>
      <w:tr>
        <w:tc>
          <w:tcPr>
            <w:tcW w:type="dxa" w:w="24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Design tokens</w:t>
            </w:r>
          </w:p>
        </w:tc>
        <w:tc>
          <w:tcPr>
            <w:tcW w:type="dxa" w:w="69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tokens.css with dark default, light override, complete colour palette, type stack, spacing scale, semantic mappings</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Sample data</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data.js with real Canadian MSRPs for 5 vehicles, real captive lender programs, 13 provincial tax configurations including BC luxury surtax, real dealer names</w:t>
            </w:r>
          </w:p>
        </w:tc>
      </w:tr>
      <w:tr>
        <w:tc>
          <w:tcPr>
            <w:tcW w:type="dxa" w:w="24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Component primitives</w:t>
            </w:r>
          </w:p>
        </w:tc>
        <w:tc>
          <w:tcPr>
            <w:tcW w:type="dxa" w:w="69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Buttons (5 variants × 5 states), inputs (5 states), selects/chips, badges, status cards, toasts, modals, charts, tables, ticker, deal cards, output cards, rating cards, floorplan clock</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Page-level designs</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Homepage (desktop+mobile, both modes), Calculator (desktop+mobile, both modes), Deal Rater (7 states + mobile), BMW brand page (full 8 sections + mobile), Forum index + thread detail (mobile), Sources transparency, Component states matrix, Iconography, Logo system</w:t>
            </w:r>
          </w:p>
        </w:tc>
      </w:tr>
      <w:tr>
        <w:tc>
          <w:tcPr>
            <w:tcW w:type="dxa" w:w="24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Working math</w:t>
            </w:r>
          </w:p>
        </w:tc>
        <w:tc>
          <w:tcPr>
            <w:tcW w:type="dxa" w:w="69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Calculator implements provincial tax (HST/GST/PST/QST), BC luxury surtax above $124,999, money factor / APR conversion, residual-based payment math, percentile scoring against sample distribution</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README</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Designer-authored handoff document with file structure, source maps, intentional-design-decisions list, open items for development, copy-pasteable token block</w:t>
            </w:r>
          </w:p>
        </w:tc>
      </w:tr>
    </w:tbl>
    <w:p>
      <w:pPr>
        <w:pStyle w:val="Heading1"/>
        <w:pageBreakBefore/>
        <w:spacing w:after="200" w:before="480"/>
      </w:pPr>
      <w:r>
        <w:rPr>
          <w:rFonts w:ascii="Arial" w:cs="Arial" w:eastAsia="Arial" w:hAnsi="Arial"/>
          <w:b/>
          <w:bCs/>
          <w:color w:val="0A0A0A"/>
          <w:sz w:val="40"/>
          <w:szCs w:val="40"/>
        </w:rPr>
        <w:t xml:space="preserve">3. What Goes to Development</w:t>
      </w:r>
    </w:p>
    <w:p>
      <w:pPr>
        <w:spacing w:after="140"/>
      </w:pPr>
      <w:r>
        <w:rPr>
          <w:rFonts w:ascii="Arial" w:cs="Arial" w:eastAsia="Arial" w:hAnsi="Arial"/>
          <w:color w:val="3C3C3C"/>
          <w:sz w:val="22"/>
          <w:szCs w:val="22"/>
        </w:rPr>
        <w:t xml:space="preserve">The design phase outputs feed directly into the development phase outlined in the architecture document. Specifically:</w:t>
      </w:r>
    </w:p>
    <w:p/>
    <w:p>
      <w:pPr>
        <w:pStyle w:val="Heading2"/>
        <w:spacing w:after="140" w:before="360"/>
      </w:pPr>
      <w:r>
        <w:rPr>
          <w:rFonts w:ascii="Arial" w:cs="Arial" w:eastAsia="Arial" w:hAnsi="Arial"/>
          <w:b/>
          <w:bCs/>
          <w:color w:val="0A0A0A"/>
          <w:sz w:val="30"/>
          <w:szCs w:val="30"/>
        </w:rPr>
        <w:t xml:space="preserve">3.1 Direct asset reuse</w:t>
      </w:r>
    </w:p>
    <w:p>
      <w:pPr>
        <w:spacing w:after="140"/>
      </w:pPr>
      <w:r>
        <w:rPr>
          <w:rFonts w:ascii="Arial" w:cs="Arial" w:eastAsia="Arial" w:hAnsi="Arial"/>
          <w:color w:val="3C3C3C"/>
          <w:sz w:val="22"/>
          <w:szCs w:val="22"/>
        </w:rPr>
        <w:t xml:space="preserve">The development team inherits a working starting position rather than a blank slate.</w:t>
      </w:r>
    </w:p>
    <w:p/>
    <w:p>
      <w:pPr>
        <w:pStyle w:val="ListParagraph"/>
        <w:numPr>
          <w:ilvl w:val="0"/>
          <w:numId w:val="2"/>
        </w:numPr>
        <w:spacing w:after="80"/>
      </w:pPr>
      <w:r>
        <w:rPr>
          <w:rFonts w:ascii="Arial" w:cs="Arial" w:eastAsia="Arial" w:hAnsi="Arial"/>
          <w:color w:val="3C3C3C"/>
          <w:sz w:val="22"/>
          <w:szCs w:val="22"/>
        </w:rPr>
        <w:t xml:space="preserve">tokens.css moves to the production codebase as-is (with the hardcoded white-rgba audit noted as a development task)</w:t>
      </w:r>
    </w:p>
    <w:p>
      <w:pPr>
        <w:pStyle w:val="ListParagraph"/>
        <w:numPr>
          <w:ilvl w:val="0"/>
          <w:numId w:val="2"/>
        </w:numPr>
        <w:spacing w:after="80"/>
      </w:pPr>
      <w:r>
        <w:rPr>
          <w:rFonts w:ascii="Arial" w:cs="Arial" w:eastAsia="Arial" w:hAnsi="Arial"/>
          <w:color w:val="3C3C3C"/>
          <w:sz w:val="22"/>
          <w:szCs w:val="22"/>
        </w:rPr>
        <w:t xml:space="preserve">chrome.jsx, the layout primitives, and the navigation pattern translate directly to the Next.js implementation</w:t>
      </w:r>
    </w:p>
    <w:p>
      <w:pPr>
        <w:pStyle w:val="ListParagraph"/>
        <w:numPr>
          <w:ilvl w:val="0"/>
          <w:numId w:val="2"/>
        </w:numPr>
        <w:spacing w:after="80"/>
      </w:pPr>
      <w:r>
        <w:rPr>
          <w:rFonts w:ascii="Arial" w:cs="Arial" w:eastAsia="Arial" w:hAnsi="Arial"/>
          <w:color w:val="3C3C3C"/>
          <w:sz w:val="22"/>
          <w:szCs w:val="22"/>
        </w:rPr>
        <w:t xml:space="preserve">Calculator math from calc.jsx becomes the initial business logic for the production calculator — provincial tax, money factor handling, BC luxury surtax all already implemented</w:t>
      </w:r>
    </w:p>
    <w:p>
      <w:pPr>
        <w:pStyle w:val="ListParagraph"/>
        <w:numPr>
          <w:ilvl w:val="0"/>
          <w:numId w:val="2"/>
        </w:numPr>
        <w:spacing w:after="80"/>
      </w:pPr>
      <w:r>
        <w:rPr>
          <w:rFonts w:ascii="Arial" w:cs="Arial" w:eastAsia="Arial" w:hAnsi="Arial"/>
          <w:color w:val="3C3C3C"/>
          <w:sz w:val="22"/>
          <w:szCs w:val="22"/>
        </w:rPr>
        <w:t xml:space="preserve">Sample data shapes in data.js match the database schema from the architecture document, so the seed data scripts can use them as a template</w:t>
      </w:r>
    </w:p>
    <w:p>
      <w:pPr>
        <w:pStyle w:val="ListParagraph"/>
        <w:numPr>
          <w:ilvl w:val="0"/>
          <w:numId w:val="2"/>
        </w:numPr>
        <w:spacing w:after="80"/>
      </w:pPr>
      <w:r>
        <w:rPr>
          <w:rFonts w:ascii="Arial" w:cs="Arial" w:eastAsia="Arial" w:hAnsi="Arial"/>
          <w:color w:val="3C3C3C"/>
          <w:sz w:val="22"/>
          <w:szCs w:val="22"/>
        </w:rPr>
        <w:t xml:space="preserve">Component patterns proven across the design surfaces become the production component library</w:t>
      </w:r>
    </w:p>
    <w:p/>
    <w:p>
      <w:pPr>
        <w:pStyle w:val="Heading2"/>
        <w:spacing w:after="140" w:before="360"/>
      </w:pPr>
      <w:r>
        <w:rPr>
          <w:rFonts w:ascii="Arial" w:cs="Arial" w:eastAsia="Arial" w:hAnsi="Arial"/>
          <w:b/>
          <w:bCs/>
          <w:color w:val="0A0A0A"/>
          <w:sz w:val="30"/>
          <w:szCs w:val="30"/>
        </w:rPr>
        <w:t xml:space="preserve">3.2 Implementation tasks the design phase deferred</w:t>
      </w:r>
    </w:p>
    <w:p/>
    <w:p>
      <w:pPr>
        <w:pStyle w:val="ListParagraph"/>
        <w:numPr>
          <w:ilvl w:val="0"/>
          <w:numId w:val="2"/>
        </w:numPr>
        <w:spacing w:after="80"/>
      </w:pPr>
      <w:r>
        <w:rPr>
          <w:rFonts w:ascii="Arial" w:cs="Arial" w:eastAsia="Arial" w:hAnsi="Arial"/>
          <w:color w:val="3C3C3C"/>
          <w:sz w:val="22"/>
          <w:szCs w:val="22"/>
        </w:rPr>
        <w:t xml:space="preserve">Theme cascade — replace hardcoded rgba(255,255,255,X) values in round2-system.jsx with semantic tokens (--text-faint, --text-muted) so light/dark switching works completely</w:t>
      </w:r>
    </w:p>
    <w:p>
      <w:pPr>
        <w:pStyle w:val="ListParagraph"/>
        <w:numPr>
          <w:ilvl w:val="0"/>
          <w:numId w:val="2"/>
        </w:numPr>
        <w:spacing w:after="80"/>
      </w:pPr>
      <w:r>
        <w:rPr>
          <w:rFonts w:ascii="Arial" w:cs="Arial" w:eastAsia="Arial" w:hAnsi="Arial"/>
          <w:color w:val="3C3C3C"/>
          <w:sz w:val="22"/>
          <w:szCs w:val="22"/>
        </w:rPr>
        <w:t xml:space="preserve">Real BMW Financial Services data feed integration — currently mocked with realistic structure</w:t>
      </w:r>
    </w:p>
    <w:p>
      <w:pPr>
        <w:pStyle w:val="ListParagraph"/>
        <w:numPr>
          <w:ilvl w:val="0"/>
          <w:numId w:val="2"/>
        </w:numPr>
        <w:spacing w:after="80"/>
      </w:pPr>
      <w:r>
        <w:rPr>
          <w:rFonts w:ascii="Arial" w:cs="Arial" w:eastAsia="Arial" w:hAnsi="Arial"/>
          <w:color w:val="3C3C3C"/>
          <w:sz w:val="22"/>
          <w:szCs w:val="22"/>
        </w:rPr>
        <w:t xml:space="preserve">Empty states for community moderation queue (admin surface, not user-facing)</w:t>
      </w:r>
    </w:p>
    <w:p>
      <w:pPr>
        <w:pStyle w:val="ListParagraph"/>
        <w:numPr>
          <w:ilvl w:val="0"/>
          <w:numId w:val="2"/>
        </w:numPr>
        <w:spacing w:after="80"/>
      </w:pPr>
      <w:r>
        <w:rPr>
          <w:rFonts w:ascii="Arial" w:cs="Arial" w:eastAsia="Arial" w:hAnsi="Arial"/>
          <w:color w:val="3C3C3C"/>
          <w:sz w:val="22"/>
          <w:szCs w:val="22"/>
        </w:rPr>
        <w:t xml:space="preserve">Native iOS/Android shells — out of scope for v1; the responsive web designs serve mobile users at launch</w:t>
      </w:r>
    </w:p>
    <w:p>
      <w:pPr>
        <w:pStyle w:val="ListParagraph"/>
        <w:numPr>
          <w:ilvl w:val="0"/>
          <w:numId w:val="2"/>
        </w:numPr>
        <w:spacing w:after="80"/>
      </w:pPr>
      <w:r>
        <w:rPr>
          <w:rFonts w:ascii="Arial" w:cs="Arial" w:eastAsia="Arial" w:hAnsi="Arial"/>
          <w:color w:val="3C3C3C"/>
          <w:sz w:val="22"/>
          <w:szCs w:val="22"/>
        </w:rPr>
        <w:t xml:space="preserve">Accessibility audit at AA on lime-on-ink at body text size (passes at large sizes; needs verification or a documented exception at small sizes)</w:t>
      </w:r>
    </w:p>
    <w:p/>
    <w:p>
      <w:pPr>
        <w:pStyle w:val="Heading2"/>
        <w:spacing w:after="140" w:before="360"/>
      </w:pPr>
      <w:r>
        <w:rPr>
          <w:rFonts w:ascii="Arial" w:cs="Arial" w:eastAsia="Arial" w:hAnsi="Arial"/>
          <w:b/>
          <w:bCs/>
          <w:color w:val="0A0A0A"/>
          <w:sz w:val="30"/>
          <w:szCs w:val="30"/>
        </w:rPr>
        <w:t xml:space="preserve">3.3 The architecture document's Phase 1 plan</w:t>
      </w:r>
    </w:p>
    <w:p>
      <w:pPr>
        <w:spacing w:after="140"/>
      </w:pPr>
      <w:r>
        <w:rPr>
          <w:rFonts w:ascii="Arial" w:cs="Arial" w:eastAsia="Arial" w:hAnsi="Arial"/>
          <w:color w:val="3C3C3C"/>
          <w:sz w:val="22"/>
          <w:szCs w:val="22"/>
        </w:rPr>
        <w:t xml:space="preserve">Per the architecture document, Phase 1 of development is a 90-day push to ship:</w:t>
      </w:r>
    </w:p>
    <w:p>
      <w:pPr>
        <w:pStyle w:val="ListParagraph"/>
        <w:numPr>
          <w:ilvl w:val="0"/>
          <w:numId w:val="3"/>
        </w:numPr>
        <w:spacing w:after="80"/>
      </w:pPr>
      <w:r>
        <w:rPr>
          <w:rFonts w:ascii="Arial" w:cs="Arial" w:eastAsia="Arial" w:hAnsi="Arial"/>
          <w:color w:val="3C3C3C"/>
          <w:sz w:val="22"/>
          <w:szCs w:val="22"/>
        </w:rPr>
        <w:t xml:space="preserve">Azure environment provisioning (Bicep templates from the architecture doc)</w:t>
      </w:r>
    </w:p>
    <w:p>
      <w:pPr>
        <w:pStyle w:val="ListParagraph"/>
        <w:numPr>
          <w:ilvl w:val="0"/>
          <w:numId w:val="3"/>
        </w:numPr>
        <w:spacing w:after="80"/>
      </w:pPr>
      <w:r>
        <w:rPr>
          <w:rFonts w:ascii="Arial" w:cs="Arial" w:eastAsia="Arial" w:hAnsi="Arial"/>
          <w:color w:val="3C3C3C"/>
          <w:sz w:val="22"/>
          <w:szCs w:val="22"/>
        </w:rPr>
        <w:t xml:space="preserve">PostgreSQL Flexible Server with PostGIS and pg_trgm extensions, schema deployment</w:t>
      </w:r>
    </w:p>
    <w:p>
      <w:pPr>
        <w:pStyle w:val="ListParagraph"/>
        <w:numPr>
          <w:ilvl w:val="0"/>
          <w:numId w:val="3"/>
        </w:numPr>
        <w:spacing w:after="80"/>
      </w:pPr>
      <w:r>
        <w:rPr>
          <w:rFonts w:ascii="Arial" w:cs="Arial" w:eastAsia="Arial" w:hAnsi="Arial"/>
          <w:color w:val="3C3C3C"/>
          <w:sz w:val="22"/>
          <w:szCs w:val="22"/>
        </w:rPr>
        <w:t xml:space="preserve">Reference data seed (provinces with tax configurations, provincial fees, makes/models/trims for the priority brands)</w:t>
      </w:r>
    </w:p>
    <w:p>
      <w:pPr>
        <w:pStyle w:val="ListParagraph"/>
        <w:numPr>
          <w:ilvl w:val="0"/>
          <w:numId w:val="3"/>
        </w:numPr>
        <w:spacing w:after="80"/>
      </w:pPr>
      <w:r>
        <w:rPr>
          <w:rFonts w:ascii="Arial" w:cs="Arial" w:eastAsia="Arial" w:hAnsi="Arial"/>
          <w:color w:val="3C3C3C"/>
          <w:sz w:val="22"/>
          <w:szCs w:val="22"/>
        </w:rPr>
        <w:t xml:space="preserve">First Azure Function — inventory crawler against MarketCheck Canada API</w:t>
      </w:r>
    </w:p>
    <w:p>
      <w:pPr>
        <w:pStyle w:val="ListParagraph"/>
        <w:numPr>
          <w:ilvl w:val="0"/>
          <w:numId w:val="3"/>
        </w:numPr>
        <w:spacing w:after="80"/>
      </w:pPr>
      <w:r>
        <w:rPr>
          <w:rFonts w:ascii="Arial" w:cs="Arial" w:eastAsia="Arial" w:hAnsi="Arial"/>
          <w:color w:val="3C3C3C"/>
          <w:sz w:val="22"/>
          <w:szCs w:val="22"/>
        </w:rPr>
        <w:t xml:space="preserve">Second Azure Function — LeaseHackr nightly ingestion (already designed, code drafted from the earlier session)</w:t>
      </w:r>
    </w:p>
    <w:p>
      <w:pPr>
        <w:pStyle w:val="ListParagraph"/>
        <w:numPr>
          <w:ilvl w:val="0"/>
          <w:numId w:val="3"/>
        </w:numPr>
        <w:spacing w:after="80"/>
      </w:pPr>
      <w:r>
        <w:rPr>
          <w:rFonts w:ascii="Arial" w:cs="Arial" w:eastAsia="Arial" w:hAnsi="Arial"/>
          <w:color w:val="3C3C3C"/>
          <w:sz w:val="22"/>
          <w:szCs w:val="22"/>
        </w:rPr>
        <w:t xml:space="preserve">Static site scaffolding — Next.js on Azure Static Web Apps, with the calculator and homepage as the first shipped pages</w:t>
      </w:r>
    </w:p>
    <w:p>
      <w:pPr>
        <w:pStyle w:val="ListParagraph"/>
        <w:numPr>
          <w:ilvl w:val="0"/>
          <w:numId w:val="3"/>
        </w:numPr>
        <w:spacing w:after="80"/>
      </w:pPr>
      <w:r>
        <w:rPr>
          <w:rFonts w:ascii="Arial" w:cs="Arial" w:eastAsia="Arial" w:hAnsi="Arial"/>
          <w:color w:val="3C3C3C"/>
          <w:sz w:val="22"/>
          <w:szCs w:val="22"/>
        </w:rPr>
        <w:t xml:space="preserve">First brand pages (BMW, then Mercedes-Benz, Audi, Lexus, Toyota) using the BMW template</w:t>
      </w:r>
    </w:p>
    <w:p>
      <w:pPr>
        <w:pStyle w:val="ListParagraph"/>
        <w:numPr>
          <w:ilvl w:val="0"/>
          <w:numId w:val="3"/>
        </w:numPr>
        <w:spacing w:after="80"/>
      </w:pPr>
      <w:r>
        <w:rPr>
          <w:rFonts w:ascii="Arial" w:cs="Arial" w:eastAsia="Arial" w:hAnsi="Arial"/>
          <w:color w:val="3C3C3C"/>
          <w:sz w:val="22"/>
          <w:szCs w:val="22"/>
        </w:rPr>
        <w:t xml:space="preserve">Forum standup — Discourse instance with the LeaseWise theme applied per the round 2 forum specification</w:t>
      </w:r>
    </w:p>
    <w:p>
      <w:pPr>
        <w:pStyle w:val="ListParagraph"/>
        <w:numPr>
          <w:ilvl w:val="0"/>
          <w:numId w:val="3"/>
        </w:numPr>
        <w:spacing w:after="80"/>
      </w:pPr>
      <w:r>
        <w:rPr>
          <w:rFonts w:ascii="Arial" w:cs="Arial" w:eastAsia="Arial" w:hAnsi="Arial"/>
          <w:color w:val="3C3C3C"/>
          <w:sz w:val="22"/>
          <w:szCs w:val="22"/>
        </w:rPr>
        <w:t xml:space="preserve">Soft launch with calculator, deal rater, BMW brand page, and forum live</w:t>
      </w:r>
    </w:p>
    <w:p/>
    <w:p>
      <w:pPr>
        <w:pBdr>
          <w:top w:val="none" w:color="auto" w:sz="0"/>
          <w:left w:val="single" w:color="C4F042" w:sz="24" w:space="12"/>
          <w:bottom w:val="none" w:color="auto" w:sz="0"/>
          <w:right w:val="none" w:color="auto" w:sz="0"/>
        </w:pBdr>
        <w:spacing w:after="100" w:before="100"/>
        <w:ind w:left="480"/>
      </w:pPr>
      <w:r>
        <w:rPr>
          <w:rFonts w:ascii="Arial" w:cs="Arial" w:eastAsia="Arial" w:hAnsi="Arial"/>
          <w:b/>
          <w:bCs/>
          <w:color w:val="0A0A0A"/>
          <w:sz w:val="22"/>
          <w:szCs w:val="22"/>
        </w:rPr>
        <w:t xml:space="preserve">Timeline note: </w:t>
      </w:r>
      <w:r>
        <w:rPr>
          <w:rFonts w:ascii="Arial" w:cs="Arial" w:eastAsia="Arial" w:hAnsi="Arial"/>
          <w:color w:val="3C3C3C"/>
          <w:sz w:val="22"/>
          <w:szCs w:val="22"/>
        </w:rPr>
        <w:t xml:space="preserve">The architecture document estimated 90 days for Phase 1. Because the design phase delivered working code, real math, and real data shapes — not just static mockups — that timeline is realistic rather than aspirational.</w:t>
      </w:r>
    </w:p>
    <w:p>
      <w:pPr>
        <w:pStyle w:val="Heading1"/>
        <w:pageBreakBefore/>
        <w:spacing w:after="200" w:before="480"/>
      </w:pPr>
      <w:r>
        <w:rPr>
          <w:rFonts w:ascii="Arial" w:cs="Arial" w:eastAsia="Arial" w:hAnsi="Arial"/>
          <w:b/>
          <w:bCs/>
          <w:color w:val="0A0A0A"/>
          <w:sz w:val="40"/>
          <w:szCs w:val="40"/>
        </w:rPr>
        <w:t xml:space="preserve">4. Final Assessment</w:t>
      </w:r>
    </w:p>
    <w:p>
      <w:pPr>
        <w:pStyle w:val="Heading2"/>
        <w:spacing w:after="140" w:before="360"/>
      </w:pPr>
      <w:r>
        <w:rPr>
          <w:rFonts w:ascii="Arial" w:cs="Arial" w:eastAsia="Arial" w:hAnsi="Arial"/>
          <w:b/>
          <w:bCs/>
          <w:color w:val="0A0A0A"/>
          <w:sz w:val="30"/>
          <w:szCs w:val="30"/>
        </w:rPr>
        <w:t xml:space="preserve">4.1 What worked about this engagement</w:t>
      </w:r>
    </w:p>
    <w:p>
      <w:pPr>
        <w:spacing w:after="140"/>
      </w:pPr>
      <w:r>
        <w:rPr>
          <w:rFonts w:ascii="Arial" w:cs="Arial" w:eastAsia="Arial" w:hAnsi="Arial"/>
          <w:color w:val="3C3C3C"/>
          <w:sz w:val="22"/>
          <w:szCs w:val="22"/>
        </w:rPr>
        <w:t xml:space="preserve">A short, honest list of what made the three-round design engagement productive.</w:t>
      </w:r>
    </w:p>
    <w:p/>
    <w:p>
      <w:pPr>
        <w:pStyle w:val="ListParagraph"/>
        <w:numPr>
          <w:ilvl w:val="0"/>
          <w:numId w:val="2"/>
        </w:numPr>
        <w:spacing w:after="80"/>
      </w:pPr>
      <w:r>
        <w:rPr>
          <w:rFonts w:ascii="Arial" w:cs="Arial" w:eastAsia="Arial" w:hAnsi="Arial"/>
          <w:color w:val="3C3C3C"/>
          <w:sz w:val="22"/>
          <w:szCs w:val="22"/>
        </w:rPr>
        <w:t xml:space="preserve">A real specification document upfront — 1,062 paragraphs of explicit constraints meant the designer never had to guess at brand voice, accent discipline, accessibility requirements, or content tone</w:t>
      </w:r>
    </w:p>
    <w:p>
      <w:pPr>
        <w:pStyle w:val="ListParagraph"/>
        <w:numPr>
          <w:ilvl w:val="0"/>
          <w:numId w:val="2"/>
        </w:numPr>
        <w:spacing w:after="80"/>
      </w:pPr>
      <w:r>
        <w:rPr>
          <w:rFonts w:ascii="Arial" w:cs="Arial" w:eastAsia="Arial" w:hAnsi="Arial"/>
          <w:color w:val="3C3C3C"/>
          <w:sz w:val="22"/>
          <w:szCs w:val="22"/>
        </w:rPr>
        <w:t xml:space="preserve">Round-based scoping — each round had explicit deliverables and explicit non-goals, which prevented scope creep without preventing genuine improvement</w:t>
      </w:r>
    </w:p>
    <w:p>
      <w:pPr>
        <w:pStyle w:val="ListParagraph"/>
        <w:numPr>
          <w:ilvl w:val="0"/>
          <w:numId w:val="2"/>
        </w:numPr>
        <w:spacing w:after="80"/>
      </w:pPr>
      <w:r>
        <w:rPr>
          <w:rFonts w:ascii="Arial" w:cs="Arial" w:eastAsia="Arial" w:hAnsi="Arial"/>
          <w:color w:val="3C3C3C"/>
          <w:sz w:val="22"/>
          <w:szCs w:val="22"/>
        </w:rPr>
        <w:t xml:space="preserve">Priority-tagged feedback — P0/P1/P2 badges in the round 1 review let the designer triage what to address first without me having to repeat priority signals in conversation</w:t>
      </w:r>
    </w:p>
    <w:p>
      <w:pPr>
        <w:pStyle w:val="ListParagraph"/>
        <w:numPr>
          <w:ilvl w:val="0"/>
          <w:numId w:val="2"/>
        </w:numPr>
        <w:spacing w:after="80"/>
      </w:pPr>
      <w:r>
        <w:rPr>
          <w:rFonts w:ascii="Arial" w:cs="Arial" w:eastAsia="Arial" w:hAnsi="Arial"/>
          <w:color w:val="3C3C3C"/>
          <w:sz w:val="22"/>
          <w:szCs w:val="22"/>
        </w:rPr>
        <w:t xml:space="preserve">Trust given to the designer's judgement on visual choices that the spec didn't mandate — they made several decisions (the "Bavarian Lounge" forum name, the "P84" percentile shorthand, the editorial "Read:" callouts on charts) that improved the work without being asked for</w:t>
      </w:r>
    </w:p>
    <w:p>
      <w:pPr>
        <w:pStyle w:val="ListParagraph"/>
        <w:numPr>
          <w:ilvl w:val="0"/>
          <w:numId w:val="2"/>
        </w:numPr>
        <w:spacing w:after="80"/>
      </w:pPr>
      <w:r>
        <w:rPr>
          <w:rFonts w:ascii="Arial" w:cs="Arial" w:eastAsia="Arial" w:hAnsi="Arial"/>
          <w:color w:val="3C3C3C"/>
          <w:sz w:val="22"/>
          <w:szCs w:val="22"/>
        </w:rPr>
        <w:t xml:space="preserve">Working code as the deliverable, not Figma — the designer built real HTML/CSS/JSX with real React state, real math, real responsive breakpoints, which means the development phase starts from a known-correct baseline rather than a static design that may or may not be implementable</w:t>
      </w:r>
    </w:p>
    <w:p/>
    <w:p>
      <w:pPr>
        <w:pStyle w:val="Heading2"/>
        <w:spacing w:after="140" w:before="360"/>
      </w:pPr>
      <w:r>
        <w:rPr>
          <w:rFonts w:ascii="Arial" w:cs="Arial" w:eastAsia="Arial" w:hAnsi="Arial"/>
          <w:b/>
          <w:bCs/>
          <w:color w:val="0A0A0A"/>
          <w:sz w:val="30"/>
          <w:szCs w:val="30"/>
        </w:rPr>
        <w:t xml:space="preserve">4.2 What I'd do differently next time</w:t>
      </w:r>
    </w:p>
    <w:p>
      <w:pPr>
        <w:pStyle w:val="ListParagraph"/>
        <w:numPr>
          <w:ilvl w:val="0"/>
          <w:numId w:val="2"/>
        </w:numPr>
        <w:spacing w:after="80"/>
      </w:pPr>
      <w:r>
        <w:rPr>
          <w:rFonts w:ascii="Arial" w:cs="Arial" w:eastAsia="Arial" w:hAnsi="Arial"/>
          <w:color w:val="3C3C3C"/>
          <w:sz w:val="22"/>
          <w:szCs w:val="22"/>
        </w:rPr>
        <w:t xml:space="preserve">Audit for hardcoded inline color values during the spec writing — the theme cascade gap exposed in round 3 would have been avoided with one paragraph in the spec saying "all colors must reference semantic tokens, never hardcoded rgba"</w:t>
      </w:r>
    </w:p>
    <w:p>
      <w:pPr>
        <w:pStyle w:val="ListParagraph"/>
        <w:numPr>
          <w:ilvl w:val="0"/>
          <w:numId w:val="2"/>
        </w:numPr>
        <w:spacing w:after="80"/>
      </w:pPr>
      <w:r>
        <w:rPr>
          <w:rFonts w:ascii="Arial" w:cs="Arial" w:eastAsia="Arial" w:hAnsi="Arial"/>
          <w:color w:val="3C3C3C"/>
          <w:sz w:val="22"/>
          <w:szCs w:val="22"/>
        </w:rPr>
        <w:t xml:space="preserve">Provide a starter Figma file with tokens predefined — when I considered this between rounds 1 and 2, I deliberately did not provide one to test whether the designer would build a real system from the spec alone. They did. But for future projects, providing the token file probably saves a half-day per side without removing the test of judgement</w:t>
      </w:r>
    </w:p>
    <w:p>
      <w:pPr>
        <w:pStyle w:val="ListParagraph"/>
        <w:numPr>
          <w:ilvl w:val="0"/>
          <w:numId w:val="2"/>
        </w:numPr>
        <w:spacing w:after="80"/>
      </w:pPr>
      <w:r>
        <w:rPr>
          <w:rFonts w:ascii="Arial" w:cs="Arial" w:eastAsia="Arial" w:hAnsi="Arial"/>
          <w:color w:val="3C3C3C"/>
          <w:sz w:val="22"/>
          <w:szCs w:val="22"/>
        </w:rPr>
        <w:t xml:space="preserve">Specify the open-decisions resolution format earlier — round 1 had eight open decisions, and the designer's approach of presenting answers with rationale was excellent, but I didn't ask for that format explicitly. Future briefs should request it in the Phase 1 deliverables list</w:t>
      </w:r>
    </w:p>
    <w:p/>
    <w:p>
      <w:pPr>
        <w:pStyle w:val="Heading2"/>
        <w:spacing w:after="140" w:before="360"/>
      </w:pPr>
      <w:r>
        <w:rPr>
          <w:rFonts w:ascii="Arial" w:cs="Arial" w:eastAsia="Arial" w:hAnsi="Arial"/>
          <w:b/>
          <w:bCs/>
          <w:color w:val="0A0A0A"/>
          <w:sz w:val="30"/>
          <w:szCs w:val="30"/>
        </w:rPr>
        <w:t xml:space="preserve">4.3 Sign-off</w:t>
      </w:r>
    </w:p>
    <w:p>
      <w:pPr>
        <w:spacing w:after="140"/>
      </w:pPr>
      <w:r>
        <w:rPr>
          <w:rFonts w:ascii="Arial" w:cs="Arial" w:eastAsia="Arial" w:hAnsi="Arial"/>
          <w:color w:val="3C3C3C"/>
          <w:sz w:val="22"/>
          <w:szCs w:val="22"/>
        </w:rPr>
        <w:t xml:space="preserve">The design phase is complete. Three rounds, three on-time deliveries, every P0 from every round addressed. The deliverable is comprehensive enough for development to begin without backfilling design work mid-build.</w:t>
      </w:r>
    </w:p>
    <w:p/>
    <w:p>
      <w:pPr>
        <w:spacing w:after="140"/>
      </w:pPr>
      <w:r>
        <w:rPr>
          <w:rFonts w:ascii="Arial" w:cs="Arial" w:eastAsia="Arial" w:hAnsi="Arial"/>
          <w:color w:val="3C3C3C"/>
          <w:sz w:val="22"/>
          <w:szCs w:val="22"/>
        </w:rPr>
        <w:t xml:space="preserve">The single small gap (theme cascade hardcoded rgba audit) is documented as a development task. It does not affect any production-facing surface — only the design system showcase pages — and rolls cleanly into the implementation pass.</w:t>
      </w:r>
    </w:p>
    <w:p/>
    <w:p>
      <w:pPr>
        <w:pBdr>
          <w:top w:val="none" w:color="auto" w:sz="0"/>
          <w:left w:val="single" w:color="C4F042" w:sz="24" w:space="12"/>
          <w:bottom w:val="none" w:color="auto" w:sz="0"/>
          <w:right w:val="none" w:color="auto" w:sz="0"/>
        </w:pBdr>
        <w:spacing w:after="100" w:before="100"/>
        <w:ind w:left="480"/>
      </w:pPr>
      <w:r>
        <w:rPr>
          <w:rFonts w:ascii="Arial" w:cs="Arial" w:eastAsia="Arial" w:hAnsi="Arial"/>
          <w:b/>
          <w:bCs/>
          <w:color w:val="0A0A0A"/>
          <w:sz w:val="22"/>
          <w:szCs w:val="22"/>
        </w:rPr>
        <w:t xml:space="preserve">Status: </w:t>
      </w:r>
      <w:r>
        <w:rPr>
          <w:rFonts w:ascii="Arial" w:cs="Arial" w:eastAsia="Arial" w:hAnsi="Arial"/>
          <w:color w:val="3C3C3C"/>
          <w:sz w:val="22"/>
          <w:szCs w:val="22"/>
        </w:rPr>
        <w:t xml:space="preserve">Design phase signed off. Development phase begins.</w:t>
      </w:r>
    </w:p>
    <w:p/>
    <w:p>
      <w:pPr>
        <w:pBdr>
          <w:bottom w:val="single" w:color="0A0A0A" w:sz="8" w:space="1"/>
        </w:pBdr>
        <w:spacing w:after="200"/>
      </w:pPr>
    </w:p>
    <w:p/>
    <w:p>
      <w:pPr>
        <w:jc w:val="center"/>
      </w:pPr>
      <w:r>
        <w:rPr>
          <w:rFonts w:ascii="Arial" w:cs="Arial" w:eastAsia="Arial" w:hAnsi="Arial"/>
          <w:i/>
          <w:iCs/>
          <w:color w:val="888888"/>
          <w:sz w:val="18"/>
          <w:szCs w:val="18"/>
        </w:rPr>
        <w:t xml:space="preserve">LeaseWise Canada — Design Phase Sign-Off</w:t>
      </w:r>
    </w:p>
    <w:p>
      <w:pPr>
        <w:jc w:val="center"/>
      </w:pPr>
      <w:r>
        <w:rPr>
          <w:rFonts w:ascii="Arial" w:cs="Arial" w:eastAsia="Arial" w:hAnsi="Arial"/>
          <w:i/>
          <w:iCs/>
          <w:color w:val="888888"/>
          <w:sz w:val="18"/>
          <w:szCs w:val="18"/>
        </w:rPr>
        <w:t xml:space="preserve">May 2026 — proceeding to development</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0A0A" w:sz="6" w:space="1"/>
      </w:pBdr>
      <w:tabs>
        <w:tab w:val="right" w:pos="9026"/>
      </w:tabs>
      <w:spacing w:before="80"/>
    </w:pPr>
    <w:r>
      <w:rPr>
        <w:rFonts w:ascii="Arial" w:cs="Arial" w:eastAsia="Arial" w:hAnsi="Arial"/>
        <w:color w:val="888888"/>
        <w:sz w:val="18"/>
        <w:szCs w:val="18"/>
      </w:rPr>
      <w:t xml:space="preserve">Sign-off  ·  May 2026</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0A0A" w:sz="6" w:space="1"/>
      </w:pBdr>
      <w:spacing w:after="80"/>
    </w:pPr>
    <w:r>
      <w:rPr>
        <w:rFonts w:ascii="Arial" w:cs="Arial" w:eastAsia="Arial" w:hAnsi="Arial"/>
        <w:color w:val="888888"/>
        <w:sz w:val="18"/>
        <w:szCs w:val="18"/>
      </w:rPr>
      <w:t xml:space="preserve">LeaseWise Canada  ·  Design Phase Sign-Off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A0A0A"/>
      <w:sz w:val="40"/>
      <w:szCs w:val="40"/>
    </w:rPr>
  </w:style>
  <w:style w:type="paragraph" w:styleId="Heading2">
    <w:name w:val="Heading 2"/>
    <w:basedOn w:val="Normal"/>
    <w:next w:val="Normal"/>
    <w:qFormat/>
    <w:pPr>
      <w:spacing w:after="140" w:before="360"/>
      <w:outlineLvl w:val="1"/>
    </w:pPr>
    <w:rPr>
      <w:rFonts w:ascii="Arial" w:cs="Arial" w:eastAsia="Arial" w:hAnsi="Arial"/>
      <w:b/>
      <w:bCs/>
      <w:color w:val="0A0A0A"/>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2A2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2026-05-01T04:34:29.652Z</dcterms:created>
  <dcterms:modified xsi:type="dcterms:W3CDTF">2026-05-01T04:34:29.653Z</dcterms:modified>
</cp:coreProperties>
</file>

<file path=docProps/custom.xml><?xml version="1.0" encoding="utf-8"?>
<Properties xmlns="http://schemas.openxmlformats.org/officeDocument/2006/custom-properties" xmlns:vt="http://schemas.openxmlformats.org/officeDocument/2006/docPropsVTypes"/>
</file>