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0A0A"/>
          <w:spacing w:val="60"/>
          <w:sz w:val="56"/>
          <w:szCs w:val="56"/>
        </w:rPr>
        <w:t xml:space="preserve">LEASEWISE CANADA</w:t>
      </w:r>
    </w:p>
    <w:p>
      <w:pPr>
        <w:spacing w:after="120"/>
        <w:jc w:val="center"/>
      </w:pPr>
      <w:r>
        <w:rPr>
          <w:rFonts w:ascii="Arial" w:cs="Arial" w:eastAsia="Arial" w:hAnsi="Arial"/>
          <w:color w:val="C4F042"/>
          <w:sz w:val="22"/>
          <w:szCs w:val="22"/>
        </w:rPr>
        <w:t xml:space="preserve">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color w:val="2A2A2A"/>
          <w:sz w:val="36"/>
          <w:szCs w:val="36"/>
        </w:rPr>
        <w:t xml:space="preserve">Round 3 — Polish Pass Brief</w:t>
      </w:r>
    </w:p>
    <w:p>
      <w:pPr>
        <w:spacing w:after="60"/>
        <w:jc w:val="center"/>
      </w:pPr>
      <w:r>
        <w:rPr>
          <w:rFonts w:ascii="Arial" w:cs="Arial" w:eastAsia="Arial" w:hAnsi="Arial"/>
          <w:color w:val="5F5F5F"/>
          <w:sz w:val="26"/>
          <w:szCs w:val="26"/>
        </w:rPr>
        <w:t xml:space="preserve">Three items to close before sign-off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May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3C3C3C"/>
          <w:sz w:val="24"/>
          <w:szCs w:val="24"/>
        </w:rPr>
        <w:t xml:space="preserve">Round 2 was outstanding.</w:t>
      </w:r>
    </w:p>
    <w:p>
      <w:pPr>
        <w:spacing w:after="1000"/>
        <w:jc w:val="center"/>
      </w:pPr>
      <w:r>
        <w:rPr>
          <w:rFonts w:ascii="Arial" w:cs="Arial" w:eastAsia="Arial" w:hAnsi="Arial"/>
          <w:color w:val="3C3C3C"/>
          <w:sz w:val="24"/>
          <w:szCs w:val="24"/>
        </w:rPr>
        <w:t xml:space="preserve">This round is polish, not revision. Three deliverables. Then sign-off.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From</w:t>
            </w:r>
          </w:p>
        </w:tc>
        <w:tc>
          <w:tcPr>
            <w:tcW w:type="dxa" w:w="6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Erik Brisson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To</w:t>
            </w:r>
          </w:p>
        </w:tc>
        <w:tc>
          <w:tcPr>
            <w:tcW w:type="dxa" w:w="6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Claude Design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Re</w:t>
            </w:r>
          </w:p>
        </w:tc>
        <w:tc>
          <w:tcPr>
            <w:tcW w:type="dxa" w:w="6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Round 2 — outstanding work, three closing items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Round 3 brief — final polish before development handoff</w:t>
            </w:r>
          </w:p>
        </w:tc>
      </w:tr>
      <w:tr>
        <w:tc>
          <w:tcPr>
            <w:tcW w:type="dxa" w:w="2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67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Half a day for an experienced designer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1. Round 2 — Verdict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Outstanding. Every P0 from round 1 was closed. Several deliverables exceeded the brief.</w:t>
      </w:r>
    </w:p>
    <w:p/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1.1 What round 2 nailed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short list of work that landed exactly right and should not be revisited: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Calculator output card — seven states, including the genuinely impressive warning state that shows quoted MF .00250 (6.00%) vs captive base .00166 (3.99%) with $94/mo and $2,088 lifetime impact called out in the card itself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Deal rater — both the A grade and the D grade are canonical examples of the kind of insight only domain expertise produces. "MF marked up 80 bps · costs $58/mo over the term — $2,088 total" with a "Get rebuttal script" CTA is exactly the follow-through users will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BC luxury surtax handling — vehicle price $148,500 above the $124,999 threshold with the additional 5% PST and ~$1,150 lifetime impact spelled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Low-confidence rater state — explains the percentile band width (±15 pts) and exactly how much filling the gaps tightens it (±3 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Mobile work — five real artboards at 375px without device frame, "Know what dealers know." headline restored, Forward/Reverse tab implemented, sticky bottom payment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Logo system — three variants, clearspace by cap-height of L, minimum size demonstrations from 64px web header down to 14px prohibited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Editorial voice answer — "Direct, slightly dry, never breathless. No 🔥 🚨 'MUST-READ'. MF .00166 / 59% RV / $0 down is more credible than 'Amazing deal!'" — internalised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Sources transparency page with confidence ratings, Component states matrix, Iconography page with 16 domain-specific icons</w:t>
      </w:r>
    </w:p>
    <w:p/>
    <w:p>
      <w:pPr>
        <w:pBdr>
          <w:top w:val="none" w:color="auto" w:sz="0"/>
          <w:left w:val="single" w:color="C4F042" w:sz="24" w:space="12"/>
          <w:bottom w:val="none" w:color="auto" w:sz="0"/>
          <w:right w:val="none" w:color="auto" w:sz="0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Headline: 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Round 3 is a half-day polish pass, not another revision round. Three items below. Once they're in, we sign off and move to development.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2. The Three Items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In priority order. Each is small in scope; together they close the loop.</w:t>
      </w:r>
    </w:p>
    <w:p/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2.1 Item 1 — Fix the theme cascade bug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P0 — blocks clean review of system pages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15 minutes — a CSS addition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Files affected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tokens.css</w:t>
            </w:r>
          </w:p>
        </w:tc>
      </w:tr>
    </w:tbl>
    <w:p/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The bug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round 2 canvas page sets data-theme="dark" on &lt;html&gt;. Individual light-mode artboards (Sources, Component states, Iconography, Logo system) add data-theme="light" on a wrapping div to override locally. But tokens.css does not include a matching [data-theme="light"] selector to flip the CSS variables back. Result: section-level headings ("Buttons", "Inputs", "Variants", "Clearspace", "Minimum size", "Prohibited") and several other elements styled via CSS custom properties inherit dark-mode colour values and render extremely faint against the white background.</w:t>
      </w:r>
    </w:p>
    <w:p/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bug does not affect the actual production light-mode pages (Light · Homepage, Light · Calculator) because those are styled with direct colour references rather than affected custom properties.</w:t>
      </w:r>
    </w:p>
    <w:p/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The fix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Add explicit [data-theme="light"] selectors to tokens.css that re-assert every variable that the [data-theme="dark"] block overrides. Roughly:</w:t>
      </w:r>
    </w:p>
    <w:p/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[data-theme="light"] {</w:t>
      </w:r>
    </w:p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  --bg: var(--paper);</w:t>
      </w:r>
    </w:p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  --surface: var(--white);</w:t>
      </w:r>
    </w:p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  --surface-2: var(--paper);</w:t>
      </w:r>
    </w:p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  --surface-inset: var(--cloud);</w:t>
      </w:r>
    </w:p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  --border: var(--fog);</w:t>
      </w:r>
    </w:p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  --border-strong: var(--silver);</w:t>
      </w:r>
    </w:p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  --border-soft: #E6E6E4;</w:t>
      </w:r>
    </w:p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  --text: var(--ink);</w:t>
      </w:r>
    </w:p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  --text-secondary: var(--graphite);</w:t>
      </w:r>
    </w:p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  --text-muted: var(--slate);</w:t>
      </w:r>
    </w:p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  --text-faint: var(--steel);</w:t>
      </w:r>
    </w:p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  --hero-bg: var(--ink);</w:t>
      </w:r>
    </w:p>
    <w:p>
      <w:pPr>
        <w:pBdr>
          <w:top w:val="single" w:color="D8D8D8" w:sz="2" w:space="6"/>
          <w:left w:val="single" w:color="D8D8D8" w:sz="2" w:space="6"/>
          <w:bottom w:val="single" w:color="D8D8D8" w:sz="2" w:space="6"/>
          <w:right w:val="single" w:color="D8D8D8" w:sz="2" w:space="6"/>
        </w:pBdr>
        <w:shd w:fill="EEEEE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A2A2A"/>
          <w:sz w:val="20"/>
          <w:szCs w:val="20"/>
        </w:rPr>
        <w:t xml:space="preserve">}</w:t>
      </w:r>
    </w:p>
    <w:p/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Re-render the canvas after the fix. Verify the four affected system artboards (Sources, Component states, Iconography, Logo system) and confirm all text reads cleanly against the white background.</w:t>
      </w:r>
    </w:p>
    <w:p/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2.2 Item 2 — BMW brand page at full hi-fi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P0 — last unverified primary screen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2-3 hours — one page, all sections at full hi-fi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Reference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Design Specification Section 5.13 — brand page structure</w:t>
            </w:r>
          </w:p>
        </w:tc>
      </w:tr>
    </w:tbl>
    <w:p/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What's already done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Round 1 shipped the hero and the four data cards. The hero composition (giant "BMW." wordmark, three-sentence brand thesis ending with "Money factor markup is the single biggest hidden cost") and the four data cards (headline rate · residual · loyalty/conquest · median deal with sample size) are correct and become the template for every brand page going forward. Do not change them.</w:t>
      </w:r>
    </w:p>
    <w:p/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What's missing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full brand page has seven sections per the spec. Round 1 showed two. Round 3 should produce the complete page so we can verify the visual rhythm of the whole composition before development locks in the template.</w:t>
      </w:r>
    </w:p>
    <w:p/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Required sections (in order)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Hero — already done, do not change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Captive lender overview — short narrative block: who BMW Financial Services is, the cadence at which they post programs, the typical 39-month structure with subvented residuals, the standard $675 acquisition fee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Historical program tracker — 12-month chart of headline rate and residual movement (see open question 6.3 from round 1, which the designer can choose: single combined chart or two side-by-side)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Negotiation profile — three sentences on what works, what does not, and any dealer-culture observations specific to BMW Canada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Deal benchmarks — distribution of recent deals across percentiles, with the median and top quartile called out, sample size disclosed, scope (last 90 days, Western Canada or whatever range)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F&amp;I considerations — three to five BMW-specific F&amp;I notes (e.g., "BMW Ultimate Care Plus is refundable on most lease contracts" or "Tire &amp; Wheel insurance is non-refundable — decline at signing")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Recent community discussions — feed of three to five forum threads tagged BMW, with title, replies count, last activity timestamp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Monthly programs archive — table of the last 6-12 months showing month, headline rate, residual, term, key incentive</w:t>
      </w:r>
    </w:p>
    <w:p/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What I want to see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single hi-fi screenshot of the entire BMW page in dark mode at desktop resolution (1280px+ 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second screenshot showing the historical program tracker chart in detail (whichever variant you choose)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composition should feel like a single cohesive page with each section flowing into the next, not seven disconnected modules stacked</w:t>
      </w:r>
    </w:p>
    <w:p/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Quality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Real BMW Canada data — actual current programs, plausible historical movement, real dealer names where they 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Forum thread titles in the "recent community discussions" feed must read like real Canadian threads (not generic placeholder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Monthly programs archive must have realistic month-over-month variation — rates and residuals do not move randomly, they tend to step on the first of the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Lime accent appears at most three times on the entire page</w:t>
      </w:r>
    </w:p>
    <w:p/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2.3 Item 3 — Forum thread detail screen, mobile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P1 — high-traffic screen not yet covered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1-2 hours — single mobile screen</w:t>
            </w:r>
          </w:p>
        </w:tc>
      </w:tr>
      <w:tr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4F0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Reference</w:t>
            </w:r>
          </w:p>
        </w:tc>
        <w:tc>
          <w:tcPr>
            <w:tcW w:type="dxa" w:w="69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Forum index mobile (round 2 deliverable) for visual continuity</w:t>
            </w:r>
          </w:p>
        </w:tc>
      </w:tr>
    </w:tbl>
    <w:p/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Round 2 shipped the forum index on mobile. Thread detail — the screen where users actually read and reply — is missing. Forum users spend most of their time in thread detail, not in the index. We need to verify it works at 375px before sign-off.</w:t>
      </w:r>
    </w:p>
    <w:p/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Required composition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Standard mobile chrome (header with hamburger, search icon, sign-in)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Breadcrumb: Community / BMW / [thread title abbreviated]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Thread title — display L, full width, may wrap to two lines on long titles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Thread metadata row — author handle, timestamp, brand tag, province tag, replies/views/last-activity in monospace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Original post body — typography rendered cleanly, monospace numerics where the post contains figures (MF, residual, monthly)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Replies feed — at least three reply cards, with author handle, timestamp, post body, and a small reply/quote action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Reply composer — collapsed state at the bottom (single-line input with "Reply…" placeholder); tapping expands to a full composer</w:t>
      </w:r>
    </w:p>
    <w:p/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Sample thread to mock up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Use the thread title that already appears in the forum index round 2 mockup: "X3 30i Calgary — dealer holding 92 days, do I lowball?" with realistic Canadian replies. The original post should reference specific numbers (MSRP $62,400, dealer asking $58,900, days on lot 92). Replies should read like actual forum responses — one helpful, one skeptical, one with a counter-experience.</w:t>
      </w:r>
    </w:p>
    <w:p/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Quality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Real Canadian thread title and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Reply usernames feel realistic ("yyc_lease", "ab_skeptic", "604_driver" — short and casual)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Money factor and rate values formatted in monospace consistently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Time stamps relative ("12 min ago", "2 hr ago", "yesterday") not absolute dates for recent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No quote-reply nesting visible at this depth — keep the thread linear for mobile readability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3. What Round 3 is NOT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Just to be explicit — these are non-goals for this pass. Do not spend time on any of them.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Re-designing any screen that round 2 shipped. The work is correct.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Adding new components or visual treatments. The system is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Producing more states for the Calculator output card or Deal rater. Seven each is sufficient.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Producing tablet (768px) artboards. The desktop and mobile pair is enough — tablet behaviour is interpolation.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Producing variants of the Sources, Component states, or Iconography pages. Once the theme bug is fixed they're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Adding the seven other tools from the spec at hi-fi (payment reverse, lease vs buy, takeover ranker, lot heat map, F&amp;I decoder, incentive stacker, lease-end equity, timing advisor). Those happen later, after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Producing per-province (13 territory) tax guide pages. The template will be built by the developer using the calculator structure as 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Account / sign-up / sign-in flows. These follow standard patterns and don't need bespoke design.</w:t>
      </w:r>
    </w:p>
    <w:p/>
    <w:p>
      <w:pPr>
        <w:pBdr>
          <w:top w:val="none" w:color="auto" w:sz="0"/>
          <w:left w:val="single" w:color="C4F042" w:sz="24" w:space="12"/>
          <w:bottom w:val="none" w:color="auto" w:sz="0"/>
          <w:right w:val="none" w:color="auto" w:sz="0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In other words: 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Three deliverables. Polish, not revision. Half a day. Then we're done.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4. After Round 3 — What's Next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For situational awareness, here's what happens after the round 3 brief is delivered and signed off.</w:t>
      </w:r>
    </w:p>
    <w:p/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4.1 Design phase complete — handoff to development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When round 3 is signed off, the design phase ends. Total deliverable from the design phase: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Complete design specification document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Round 1 hi-fi pass — five core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Round 2 expansion — every state, every primitive, every system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Round 3 polish — theme fix, full BMW brand page, mobile thread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Implementation-ready code — tokens.css, chrome.jsx, component primitives, working calculator math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Sample data sets that match real Canadian dealer/program reality</w:t>
      </w:r>
    </w:p>
    <w:p/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4.2 Handoff package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At sign-off the designer delivers a final zip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Updated tokens.css with the [data-theme="light"]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Updated brand.jsx and brand.css for the full BMW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new forum-thread-mobile.jsx for the thread detail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README.md mapping every artboard to its production page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Final PNG renders at 2x density of every screen for reference and stakeholder communication</w:t>
      </w:r>
    </w:p>
    <w:p/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4.3 What development inherits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Development picks up from a strong starting position: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Token system already real — no design-system rewrite needed in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Calculator math already implemented and accurate (provincial tax, BC luxury surtax, money factor / APR conversion)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Component patterns already proven across multiple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Sample data shapes already match the database schema from the architecture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Discourse forum theming already specified — light theming, brand chrome, native interaction patterns preserved</w:t>
      </w:r>
    </w:p>
    <w:p/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4.4 The first development milestone</w:t>
      </w:r>
    </w:p>
    <w:p>
      <w:pPr>
        <w:spacing w:after="1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Per the architecture document, the development phase begins with: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Azure environment provisioning (Bicep templates from the architecture doc)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PostgreSQL Flexible Server with PostGIS and pg_trgm extensions, schema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Reference data seed (provinces, provincial fees, makes, models, trims for the priority brands)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First Azure Function — inventory crawler against MarketCheck Canada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Second Azure Function — LeaseHackr nightly ingestion (already designed, code drafted)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Static site scaffolding — Next.js on Azure Static Web Apps, with the calculator and homepage as the first shipped pages</w:t>
      </w:r>
    </w:p>
    <w:p/>
    <w:p>
      <w:pPr>
        <w:pBdr>
          <w:top w:val="none" w:color="auto" w:sz="0"/>
          <w:left w:val="single" w:color="C4F042" w:sz="24" w:space="12"/>
          <w:bottom w:val="none" w:color="auto" w:sz="0"/>
          <w:right w:val="none" w:color="auto" w:sz="0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Timeline note: 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The architecture document estimates a 90-day Phase 1 to ship the calculator, deal rater, calculator-as-a-service API, and first community deals to a soft-launched site. The design phase ending here keeps that timeline real.</w:t>
      </w:r>
    </w:p>
    <w:p/>
    <w:p>
      <w:pPr>
        <w:pBdr>
          <w:bottom w:val="single" w:color="0A0A0A" w:sz="8" w:space="1"/>
        </w:pBdr>
        <w:spacing w:after="200"/>
      </w:pPr>
    </w:p>
    <w:p/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LeaseWise Canada — Round 3 Polish Brief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May 2026 — final design pass before development handoff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0A0A" w:sz="6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Round 3 brief  ·  May 2026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0A0A" w:sz="6" w:space="1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LeaseWise Canada  ·  Round 3 Polish Brief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A0A0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0A0A0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A2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2026-05-01T04:10:06.407Z</dcterms:created>
  <dcterms:modified xsi:type="dcterms:W3CDTF">2026-05-01T04:10:06.408Z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