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9E54B">
      <w:pPr>
        <w:rPr>
          <w:b/>
          <w:bCs/>
          <w:i/>
          <w:iCs/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 xml:space="preserve"> - Partenaires – </w:t>
      </w:r>
      <w:r>
        <w:rPr>
          <w:b/>
          <w:bCs/>
          <w:i/>
          <w:iCs/>
          <w:sz w:val="24"/>
          <w:szCs w:val="32"/>
          <w:lang w:val="fr-FR"/>
        </w:rPr>
        <w:t>Notre force collective</w:t>
      </w:r>
    </w:p>
    <w:p w14:paraId="18075010">
      <w:pPr>
        <w:rPr>
          <w:b/>
          <w:bCs/>
          <w:sz w:val="24"/>
          <w:szCs w:val="32"/>
          <w:lang w:val="fr-FR"/>
        </w:rPr>
      </w:pPr>
    </w:p>
    <w:p w14:paraId="659E3F9E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Commerciaux</w:t>
      </w:r>
      <w:r>
        <w:rPr>
          <w:sz w:val="24"/>
          <w:szCs w:val="32"/>
          <w:lang w:val="fr-FR"/>
        </w:rPr>
        <w:t xml:space="preserve"> : CEMOI, CARGILL, SACO, SUCDEN, ACTION.</w:t>
      </w:r>
    </w:p>
    <w:p w14:paraId="02FB7448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Export</w:t>
      </w:r>
      <w:r>
        <w:rPr>
          <w:sz w:val="24"/>
          <w:szCs w:val="32"/>
          <w:lang w:val="fr-FR"/>
        </w:rPr>
        <w:t xml:space="preserve"> : CARGILL BV, FACTA, COMOD TRADING, COCOASOURCE.</w:t>
      </w:r>
    </w:p>
    <w:p w14:paraId="03A8A682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Financiers</w:t>
      </w:r>
      <w:r>
        <w:rPr>
          <w:sz w:val="24"/>
          <w:szCs w:val="32"/>
          <w:lang w:val="fr-FR"/>
        </w:rPr>
        <w:t xml:space="preserve"> : BACI, SHARED INTEREST, ABC Fund, FAIR CAPITAL, RABOBANK, ORANGE BANK, AFG.</w:t>
      </w:r>
    </w:p>
    <w:p w14:paraId="4A42337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93FCA"/>
    <w:multiLevelType w:val="multilevel"/>
    <w:tmpl w:val="30D93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E348E"/>
    <w:rsid w:val="47EE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2026-02-05T19:09:00Z</dcterms:created>
  <dc:creator>HP</dc:creator>
  <cp:lastModifiedBy>HP</cp:lastModifiedBy>
  <dcterms:modified xsi:type="dcterms:W3CDTF">2026-02-05T19:10:15Z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0227D6AE046E46CA8C284677CB0882AA_11</vt:lpwstr>
  </property>
</Properties>
</file>