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B99D4"/>
          <w:sz w:val="24"/>
        </w:rPr>
        <w:t>CSO Learning Hub — HRBA Course</w:t>
      </w:r>
    </w:p>
    <w:p>
      <w:pPr>
        <w:jc w:val="center"/>
      </w:pPr>
      <w:r>
        <w:rPr>
          <w:b/>
          <w:color w:val="0F172A"/>
          <w:sz w:val="44"/>
        </w:rPr>
        <w:t>Module 1 Improvement Report and Targeted Repair Plan</w:t>
      </w:r>
    </w:p>
    <w:p>
      <w:pPr>
        <w:jc w:val="center"/>
      </w:pPr>
      <w:r>
        <w:rPr>
          <w:i/>
          <w:color w:val="6B7280"/>
          <w:sz w:val="22"/>
        </w:rPr>
        <w:t>Next implementation step after the Module 1 pilot audit</w:t>
      </w:r>
    </w:p>
    <w:p>
      <w:pPr>
        <w:jc w:val="center"/>
      </w:pPr>
      <w:r>
        <w:rPr>
          <w:sz w:val="18"/>
        </w:rPr>
        <w:t>Prepared: 2026-06-02</w:t>
      </w:r>
    </w:p>
    <w:p/>
    <w:tbl>
      <w:tblPr>
        <w:tblW w:type="auto" w:w="0"/>
        <w:tblLook w:firstColumn="1" w:firstRow="1" w:lastColumn="0" w:lastRow="0" w:noHBand="0" w:noVBand="1" w:val="04A0"/>
      </w:tblPr>
      <w:tblGrid>
        <w:gridCol w:w="10080"/>
      </w:tblGrid>
      <w:tr>
        <w:tc>
          <w:tcPr>
            <w:tcW w:type="dxa" w:w="10080"/>
            <w:shd w:fill="ECFDF3"/>
          </w:tcPr>
          <w:p>
            <w:r>
              <w:rPr>
                <w:rFonts w:ascii="Arial" w:hAnsi="Arial" w:eastAsia="Arial"/>
                <w:b/>
                <w:color w:val="0F172A"/>
                <w:sz w:val="19"/>
              </w:rPr>
              <w:t>Gate decision</w:t>
            </w:r>
            <w:r>
              <w:rPr>
                <w:rFonts w:ascii="Arial" w:hAnsi="Arial" w:eastAsia="Arial"/>
                <w:sz w:val="19"/>
              </w:rPr>
              <w:br/>
              <w:t>Module 1 is strong and can proceed to targeted repair before prototype build. The repairs do not require redesigning the whole module. They mainly lock the two-layer Agora-inspired shell states, explicit platform-player transitions, objective/capacity mapping, visual assets, and deterministic interaction state logic.</w:t>
            </w:r>
          </w:p>
        </w:tc>
      </w:tr>
    </w:tbl>
    <w:p/>
    <w:p>
      <w:pPr>
        <w:pStyle w:val="Heading1"/>
      </w:pPr>
      <w:r>
        <w:t>1. Purpose of this step</w:t>
      </w:r>
    </w:p>
    <w:p>
      <w:r>
        <w:t>This report converts the Module 1 pilot audit into a practical repair plan. It identifies the targeted improvements needed before Module 1 is built as the flagship prototype for the HRBA course. The purpose is not to rewrite the module from scratch. The module content, sequence, practical tone, learner actions, portfolio logic, formative quiz, and safety rules are already strong. The next task is to make the module implementation-ready under the locked two-layer course architecture.</w:t>
      </w:r>
    </w:p>
    <w:p>
      <w:r>
        <w:t>This report should be used to guide the next build-preparation step: preparing the Module 1 targeted repair package and build handoff.</w:t>
      </w:r>
    </w:p>
    <w:p>
      <w:pPr>
        <w:pStyle w:val="Heading1"/>
      </w:pPr>
      <w:r>
        <w:t>2. Inputs reviewed</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0F172A"/>
          </w:tcPr>
          <w:p>
            <w:pPr>
              <w:spacing w:after="0"/>
            </w:pPr>
            <w:r>
              <w:rPr>
                <w:rFonts w:ascii="Arial" w:hAnsi="Arial" w:eastAsia="Arial"/>
                <w:b/>
                <w:color w:val="FFFFFF"/>
                <w:sz w:val="18"/>
              </w:rPr>
              <w:t>Source</w:t>
            </w:r>
          </w:p>
        </w:tc>
        <w:tc>
          <w:tcPr>
            <w:tcW w:type="dxa" w:w="6912"/>
            <w:vAlign w:val="center"/>
            <w:shd w:fill="0F172A"/>
          </w:tcPr>
          <w:p>
            <w:pPr>
              <w:spacing w:after="0"/>
            </w:pPr>
            <w:r>
              <w:rPr>
                <w:rFonts w:ascii="Arial" w:hAnsi="Arial" w:eastAsia="Arial"/>
                <w:b/>
                <w:color w:val="FFFFFF"/>
                <w:sz w:val="18"/>
              </w:rPr>
              <w:t>Use in this report</w:t>
            </w:r>
          </w:p>
        </w:tc>
      </w:tr>
      <w:tr>
        <w:tc>
          <w:tcPr>
            <w:tcW w:type="dxa" w:w="3456"/>
            <w:vAlign w:val="top"/>
          </w:tcPr>
          <w:p>
            <w:pPr>
              <w:spacing w:after="0"/>
            </w:pPr>
            <w:r>
              <w:rPr>
                <w:rFonts w:ascii="Arial" w:hAnsi="Arial" w:eastAsia="Arial"/>
                <w:sz w:val="18"/>
              </w:rPr>
              <w:t>HRBA_Module_Audit_Matrix_Module_1_Pilot.xlsx</w:t>
            </w:r>
          </w:p>
        </w:tc>
        <w:tc>
          <w:tcPr>
            <w:tcW w:type="dxa" w:w="6912"/>
            <w:vAlign w:val="top"/>
          </w:tcPr>
          <w:p>
            <w:pPr>
              <w:spacing w:after="0"/>
            </w:pPr>
            <w:r>
              <w:rPr>
                <w:rFonts w:ascii="Arial" w:hAnsi="Arial" w:eastAsia="Arial"/>
                <w:sz w:val="18"/>
              </w:rPr>
              <w:t>Primary audit evidence: scorecard, section summary, improvement log, build gate decision.</w:t>
            </w:r>
          </w:p>
        </w:tc>
      </w:tr>
      <w:tr>
        <w:tc>
          <w:tcPr>
            <w:tcW w:type="dxa" w:w="3456"/>
            <w:vAlign w:val="top"/>
          </w:tcPr>
          <w:p>
            <w:pPr>
              <w:spacing w:after="0"/>
            </w:pPr>
            <w:r>
              <w:rPr>
                <w:rFonts w:ascii="Arial" w:hAnsi="Arial" w:eastAsia="Arial"/>
                <w:sz w:val="18"/>
              </w:rPr>
              <w:t>Module_1_HRBA_Clean_AI_Coding_Workbook_FINAL.xlsx</w:t>
            </w:r>
          </w:p>
        </w:tc>
        <w:tc>
          <w:tcPr>
            <w:tcW w:type="dxa" w:w="6912"/>
            <w:vAlign w:val="top"/>
          </w:tcPr>
          <w:p>
            <w:pPr>
              <w:spacing w:after="0"/>
            </w:pPr>
            <w:r>
              <w:rPr>
                <w:rFonts w:ascii="Arial" w:hAnsi="Arial" w:eastAsia="Arial"/>
                <w:sz w:val="18"/>
              </w:rPr>
              <w:t>Primary module source: storyboard, interaction logic, survey, portfolio, safety, accessibility, asset register, acceptance criteria.</w:t>
            </w:r>
          </w:p>
        </w:tc>
      </w:tr>
      <w:tr>
        <w:tc>
          <w:tcPr>
            <w:tcW w:type="dxa" w:w="3456"/>
            <w:vAlign w:val="top"/>
          </w:tcPr>
          <w:p>
            <w:pPr>
              <w:spacing w:after="0"/>
            </w:pPr>
            <w:r>
              <w:rPr>
                <w:rFonts w:ascii="Arial" w:hAnsi="Arial" w:eastAsia="Arial"/>
                <w:sz w:val="18"/>
              </w:rPr>
              <w:t>Module_1_AI_Coding_Agent_Markdown_Package_FINAL.zip</w:t>
            </w:r>
          </w:p>
        </w:tc>
        <w:tc>
          <w:tcPr>
            <w:tcW w:type="dxa" w:w="6912"/>
            <w:vAlign w:val="top"/>
          </w:tcPr>
          <w:p>
            <w:pPr>
              <w:spacing w:after="0"/>
            </w:pPr>
            <w:r>
              <w:rPr>
                <w:rFonts w:ascii="Arial" w:hAnsi="Arial" w:eastAsia="Arial"/>
                <w:sz w:val="18"/>
              </w:rPr>
              <w:t>Markdown package for coding/authoring agent handoff and screen-by-screen learner content.</w:t>
            </w:r>
          </w:p>
        </w:tc>
      </w:tr>
      <w:tr>
        <w:tc>
          <w:tcPr>
            <w:tcW w:type="dxa" w:w="3456"/>
            <w:vAlign w:val="top"/>
          </w:tcPr>
          <w:p>
            <w:pPr>
              <w:spacing w:after="0"/>
            </w:pPr>
            <w:r>
              <w:rPr>
                <w:rFonts w:ascii="Arial" w:hAnsi="Arial" w:eastAsia="Arial"/>
                <w:sz w:val="18"/>
              </w:rPr>
              <w:t>Consolidated Design Specification for HRBA Course — Revised</w:t>
            </w:r>
          </w:p>
        </w:tc>
        <w:tc>
          <w:tcPr>
            <w:tcW w:type="dxa" w:w="6912"/>
            <w:vAlign w:val="top"/>
          </w:tcPr>
          <w:p>
            <w:pPr>
              <w:spacing w:after="0"/>
            </w:pPr>
            <w:r>
              <w:rPr>
                <w:rFonts w:ascii="Arial" w:hAnsi="Arial" w:eastAsia="Arial"/>
                <w:sz w:val="18"/>
              </w:rPr>
              <w:t>Locked design direction: two-layer platform/player model and Agora-inspired course-player patterns.</w:t>
            </w:r>
          </w:p>
        </w:tc>
      </w:tr>
      <w:tr>
        <w:tc>
          <w:tcPr>
            <w:tcW w:type="dxa" w:w="3456"/>
            <w:vAlign w:val="top"/>
          </w:tcPr>
          <w:p>
            <w:pPr>
              <w:spacing w:after="0"/>
            </w:pPr>
            <w:r>
              <w:rPr>
                <w:rFonts w:ascii="Arial" w:hAnsi="Arial" w:eastAsia="Arial"/>
                <w:sz w:val="18"/>
              </w:rPr>
              <w:t>HRBA Design Lock Package v1</w:t>
            </w:r>
          </w:p>
        </w:tc>
        <w:tc>
          <w:tcPr>
            <w:tcW w:type="dxa" w:w="6912"/>
            <w:vAlign w:val="top"/>
          </w:tcPr>
          <w:p>
            <w:pPr>
              <w:spacing w:after="0"/>
            </w:pPr>
            <w:r>
              <w:rPr>
                <w:rFonts w:ascii="Arial" w:hAnsi="Arial" w:eastAsia="Arial"/>
                <w:sz w:val="18"/>
              </w:rPr>
              <w:t>Reference repo/specification package for architecture, state model, QA gates, and implementation sequence.</w:t>
            </w:r>
          </w:p>
        </w:tc>
      </w:tr>
    </w:tbl>
    <w:p/>
    <w:p>
      <w:pPr>
        <w:pStyle w:val="Heading1"/>
      </w:pPr>
      <w:r>
        <w:t>3. Pilot audit summary</w:t>
      </w:r>
    </w:p>
    <w:p>
      <w:r>
        <w:t>The pilot audit reviewed 44 Module 1 learner-facing screens/blocks across seven sections. The overall audit score was 2.34 out of 3, which indicates conditional build readiness. The module is content-ready, but not yet shell/state-ready. The high-priority repairs relate to the Agora-style player shell, launch/cover behavior, help overlay, accessibility modal, return-to-platform progress state, and explicit objective-to-capacity mapping.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736"/>
            <w:vAlign w:val="center"/>
            <w:shd w:fill="0F172A"/>
          </w:tcPr>
          <w:p>
            <w:pPr>
              <w:spacing w:after="0"/>
            </w:pPr>
            <w:r>
              <w:rPr>
                <w:rFonts w:ascii="Arial" w:hAnsi="Arial" w:eastAsia="Arial"/>
                <w:b/>
                <w:color w:val="FFFFFF"/>
                <w:sz w:val="14"/>
              </w:rPr>
              <w:t>Audit dimension</w:t>
            </w:r>
          </w:p>
        </w:tc>
        <w:tc>
          <w:tcPr>
            <w:tcW w:type="dxa" w:w="792"/>
            <w:vAlign w:val="center"/>
            <w:shd w:fill="0F172A"/>
          </w:tcPr>
          <w:p>
            <w:pPr>
              <w:spacing w:after="0"/>
            </w:pPr>
            <w:r>
              <w:rPr>
                <w:rFonts w:ascii="Arial" w:hAnsi="Arial" w:eastAsia="Arial"/>
                <w:b/>
                <w:color w:val="FFFFFF"/>
                <w:sz w:val="14"/>
              </w:rPr>
              <w:t>Score</w:t>
            </w:r>
          </w:p>
        </w:tc>
        <w:tc>
          <w:tcPr>
            <w:tcW w:type="dxa" w:w="3888"/>
            <w:vAlign w:val="center"/>
            <w:shd w:fill="0F172A"/>
          </w:tcPr>
          <w:p>
            <w:pPr>
              <w:spacing w:after="0"/>
            </w:pPr>
            <w:r>
              <w:rPr>
                <w:rFonts w:ascii="Arial" w:hAnsi="Arial" w:eastAsia="Arial"/>
                <w:b/>
                <w:color w:val="FFFFFF"/>
                <w:sz w:val="14"/>
              </w:rPr>
              <w:t>Finding</w:t>
            </w:r>
          </w:p>
        </w:tc>
        <w:tc>
          <w:tcPr>
            <w:tcW w:type="dxa" w:w="3600"/>
            <w:vAlign w:val="center"/>
            <w:shd w:fill="0F172A"/>
          </w:tcPr>
          <w:p>
            <w:pPr>
              <w:spacing w:after="0"/>
            </w:pPr>
            <w:r>
              <w:rPr>
                <w:rFonts w:ascii="Arial" w:hAnsi="Arial" w:eastAsia="Arial"/>
                <w:b/>
                <w:color w:val="FFFFFF"/>
                <w:sz w:val="14"/>
              </w:rPr>
              <w:t>Required next action</w:t>
            </w:r>
          </w:p>
        </w:tc>
      </w:tr>
      <w:tr>
        <w:tc>
          <w:tcPr>
            <w:tcW w:type="dxa" w:w="2736"/>
            <w:vAlign w:val="top"/>
          </w:tcPr>
          <w:p>
            <w:pPr>
              <w:spacing w:after="0"/>
            </w:pPr>
            <w:r>
              <w:rPr>
                <w:rFonts w:ascii="Arial" w:hAnsi="Arial" w:eastAsia="Arial"/>
                <w:sz w:val="14"/>
              </w:rPr>
              <w:t>Overall Module 1 build readiness</w:t>
            </w:r>
          </w:p>
        </w:tc>
        <w:tc>
          <w:tcPr>
            <w:tcW w:type="dxa" w:w="792"/>
            <w:vAlign w:val="top"/>
          </w:tcPr>
          <w:p>
            <w:pPr>
              <w:spacing w:after="0"/>
            </w:pPr>
            <w:r>
              <w:rPr>
                <w:rFonts w:ascii="Arial" w:hAnsi="Arial" w:eastAsia="Arial"/>
                <w:sz w:val="14"/>
              </w:rPr>
              <w:t>2.34</w:t>
            </w:r>
          </w:p>
        </w:tc>
        <w:tc>
          <w:tcPr>
            <w:tcW w:type="dxa" w:w="3888"/>
            <w:vAlign w:val="top"/>
          </w:tcPr>
          <w:p>
            <w:pPr>
              <w:spacing w:after="0"/>
            </w:pPr>
            <w:r>
              <w:rPr>
                <w:rFonts w:ascii="Arial" w:hAnsi="Arial" w:eastAsia="Arial"/>
                <w:sz w:val="14"/>
              </w:rPr>
              <w:t>Strong clean-content package; ready for pilot build after shell/template clarifications and asset/state mapping.</w:t>
            </w:r>
          </w:p>
        </w:tc>
        <w:tc>
          <w:tcPr>
            <w:tcW w:type="dxa" w:w="3600"/>
            <w:vAlign w:val="top"/>
          </w:tcPr>
          <w:p>
            <w:pPr>
              <w:spacing w:after="0"/>
            </w:pPr>
            <w:r>
              <w:rPr>
                <w:rFonts w:ascii="Arial" w:hAnsi="Arial" w:eastAsia="Arial"/>
                <w:sz w:val="14"/>
              </w:rPr>
              <w:t>Proceed to targeted repairs before build.</w:t>
            </w:r>
          </w:p>
        </w:tc>
      </w:tr>
      <w:tr>
        <w:tc>
          <w:tcPr>
            <w:tcW w:type="dxa" w:w="2736"/>
            <w:vAlign w:val="top"/>
          </w:tcPr>
          <w:p>
            <w:pPr>
              <w:spacing w:after="0"/>
            </w:pPr>
            <w:r>
              <w:rPr>
                <w:rFonts w:ascii="Arial" w:hAnsi="Arial" w:eastAsia="Arial"/>
                <w:sz w:val="14"/>
              </w:rPr>
              <w:t>Two-layer Agora architecture fit</w:t>
            </w:r>
          </w:p>
        </w:tc>
        <w:tc>
          <w:tcPr>
            <w:tcW w:type="dxa" w:w="792"/>
            <w:vAlign w:val="top"/>
          </w:tcPr>
          <w:p>
            <w:pPr>
              <w:spacing w:after="0"/>
            </w:pPr>
            <w:r>
              <w:rPr>
                <w:rFonts w:ascii="Arial" w:hAnsi="Arial" w:eastAsia="Arial"/>
                <w:sz w:val="14"/>
              </w:rPr>
              <w:t>2</w:t>
            </w:r>
          </w:p>
        </w:tc>
        <w:tc>
          <w:tcPr>
            <w:tcW w:type="dxa" w:w="3888"/>
            <w:vAlign w:val="top"/>
          </w:tcPr>
          <w:p>
            <w:pPr>
              <w:spacing w:after="0"/>
            </w:pPr>
            <w:r>
              <w:rPr>
                <w:rFonts w:ascii="Arial" w:hAnsi="Arial" w:eastAsia="Arial"/>
                <w:sz w:val="14"/>
              </w:rPr>
              <w:t>Module content is strong, but module cover, help overlay, launch wrapper, return-to-platform, and progress-update behavior must be locked as shell/state logic.</w:t>
            </w:r>
          </w:p>
        </w:tc>
        <w:tc>
          <w:tcPr>
            <w:tcW w:type="dxa" w:w="3600"/>
            <w:vAlign w:val="top"/>
          </w:tcPr>
          <w:p>
            <w:pPr>
              <w:spacing w:after="0"/>
            </w:pPr>
            <w:r>
              <w:rPr>
                <w:rFonts w:ascii="Arial" w:hAnsi="Arial" w:eastAsia="Arial"/>
                <w:sz w:val="14"/>
              </w:rPr>
              <w:t>Create state registry entries for launch, player, completion, and return states.</w:t>
            </w:r>
          </w:p>
        </w:tc>
      </w:tr>
      <w:tr>
        <w:tc>
          <w:tcPr>
            <w:tcW w:type="dxa" w:w="2736"/>
            <w:vAlign w:val="top"/>
          </w:tcPr>
          <w:p>
            <w:pPr>
              <w:spacing w:after="0"/>
            </w:pPr>
            <w:r>
              <w:rPr>
                <w:rFonts w:ascii="Arial" w:hAnsi="Arial" w:eastAsia="Arial"/>
                <w:sz w:val="14"/>
              </w:rPr>
              <w:t>Learning objectives and CSO capacity alignment</w:t>
            </w:r>
          </w:p>
        </w:tc>
        <w:tc>
          <w:tcPr>
            <w:tcW w:type="dxa" w:w="792"/>
            <w:vAlign w:val="top"/>
          </w:tcPr>
          <w:p>
            <w:pPr>
              <w:spacing w:after="0"/>
            </w:pPr>
            <w:r>
              <w:rPr>
                <w:rFonts w:ascii="Arial" w:hAnsi="Arial" w:eastAsia="Arial"/>
                <w:sz w:val="14"/>
              </w:rPr>
              <w:t>2</w:t>
            </w:r>
          </w:p>
        </w:tc>
        <w:tc>
          <w:tcPr>
            <w:tcW w:type="dxa" w:w="3888"/>
            <w:vAlign w:val="top"/>
          </w:tcPr>
          <w:p>
            <w:pPr>
              <w:spacing w:after="0"/>
            </w:pPr>
            <w:r>
              <w:rPr>
                <w:rFonts w:ascii="Arial" w:hAnsi="Arial" w:eastAsia="Arial"/>
                <w:sz w:val="14"/>
              </w:rPr>
              <w:t>Objectives are present and practical but capacity area, CSO practice, K/S/M/E, assessment, and indicator links need explicit mapping.</w:t>
            </w:r>
          </w:p>
        </w:tc>
        <w:tc>
          <w:tcPr>
            <w:tcW w:type="dxa" w:w="3600"/>
            <w:vAlign w:val="top"/>
          </w:tcPr>
          <w:p>
            <w:pPr>
              <w:spacing w:after="0"/>
            </w:pPr>
            <w:r>
              <w:rPr>
                <w:rFonts w:ascii="Arial" w:hAnsi="Arial" w:eastAsia="Arial"/>
                <w:sz w:val="14"/>
              </w:rPr>
              <w:t>Add Objective-to-Capacity Alignment sheet to production workbook.</w:t>
            </w:r>
          </w:p>
        </w:tc>
      </w:tr>
      <w:tr>
        <w:tc>
          <w:tcPr>
            <w:tcW w:type="dxa" w:w="2736"/>
            <w:vAlign w:val="top"/>
          </w:tcPr>
          <w:p>
            <w:pPr>
              <w:spacing w:after="0"/>
            </w:pPr>
            <w:r>
              <w:rPr>
                <w:rFonts w:ascii="Arial" w:hAnsi="Arial" w:eastAsia="Arial"/>
                <w:sz w:val="14"/>
              </w:rPr>
              <w:t>Content quality and sequence</w:t>
            </w:r>
          </w:p>
        </w:tc>
        <w:tc>
          <w:tcPr>
            <w:tcW w:type="dxa" w:w="792"/>
            <w:vAlign w:val="top"/>
          </w:tcPr>
          <w:p>
            <w:pPr>
              <w:spacing w:after="0"/>
            </w:pPr>
            <w:r>
              <w:rPr>
                <w:rFonts w:ascii="Arial" w:hAnsi="Arial" w:eastAsia="Arial"/>
                <w:sz w:val="14"/>
              </w:rPr>
              <w:t>3</w:t>
            </w:r>
          </w:p>
        </w:tc>
        <w:tc>
          <w:tcPr>
            <w:tcW w:type="dxa" w:w="3888"/>
            <w:vAlign w:val="top"/>
          </w:tcPr>
          <w:p>
            <w:pPr>
              <w:spacing w:after="0"/>
            </w:pPr>
            <w:r>
              <w:rPr>
                <w:rFonts w:ascii="Arial" w:hAnsi="Arial" w:eastAsia="Arial"/>
                <w:sz w:val="14"/>
              </w:rPr>
              <w:t>Seven-section flow is coherent and learner-facing.</w:t>
            </w:r>
          </w:p>
        </w:tc>
        <w:tc>
          <w:tcPr>
            <w:tcW w:type="dxa" w:w="3600"/>
            <w:vAlign w:val="top"/>
          </w:tcPr>
          <w:p>
            <w:pPr>
              <w:spacing w:after="0"/>
            </w:pPr>
            <w:r>
              <w:rPr>
                <w:rFonts w:ascii="Arial" w:hAnsi="Arial" w:eastAsia="Arial"/>
                <w:sz w:val="14"/>
              </w:rPr>
              <w:t>Keep sequence; avoid adding unnecessary screens.</w:t>
            </w:r>
          </w:p>
        </w:tc>
      </w:tr>
      <w:tr>
        <w:tc>
          <w:tcPr>
            <w:tcW w:type="dxa" w:w="2736"/>
            <w:vAlign w:val="top"/>
          </w:tcPr>
          <w:p>
            <w:pPr>
              <w:spacing w:after="0"/>
            </w:pPr>
            <w:r>
              <w:rPr>
                <w:rFonts w:ascii="Arial" w:hAnsi="Arial" w:eastAsia="Arial"/>
                <w:sz w:val="14"/>
              </w:rPr>
              <w:t>Adult-learning and practical CSO relevance</w:t>
            </w:r>
          </w:p>
        </w:tc>
        <w:tc>
          <w:tcPr>
            <w:tcW w:type="dxa" w:w="792"/>
            <w:vAlign w:val="top"/>
          </w:tcPr>
          <w:p>
            <w:pPr>
              <w:spacing w:after="0"/>
            </w:pPr>
            <w:r>
              <w:rPr>
                <w:rFonts w:ascii="Arial" w:hAnsi="Arial" w:eastAsia="Arial"/>
                <w:sz w:val="14"/>
              </w:rPr>
              <w:t>3</w:t>
            </w:r>
          </w:p>
        </w:tc>
        <w:tc>
          <w:tcPr>
            <w:tcW w:type="dxa" w:w="3888"/>
            <w:vAlign w:val="top"/>
          </w:tcPr>
          <w:p>
            <w:pPr>
              <w:spacing w:after="0"/>
            </w:pPr>
            <w:r>
              <w:rPr>
                <w:rFonts w:ascii="Arial" w:hAnsi="Arial" w:eastAsia="Arial"/>
                <w:sz w:val="14"/>
              </w:rPr>
              <w:t>Tone is practical, supportive, and locally grounded.</w:t>
            </w:r>
          </w:p>
        </w:tc>
        <w:tc>
          <w:tcPr>
            <w:tcW w:type="dxa" w:w="3600"/>
            <w:vAlign w:val="top"/>
          </w:tcPr>
          <w:p>
            <w:pPr>
              <w:spacing w:after="0"/>
            </w:pPr>
            <w:r>
              <w:rPr>
                <w:rFonts w:ascii="Arial" w:hAnsi="Arial" w:eastAsia="Arial"/>
                <w:sz w:val="14"/>
              </w:rPr>
              <w:t>Preserve tone during build.</w:t>
            </w:r>
          </w:p>
        </w:tc>
      </w:tr>
      <w:tr>
        <w:tc>
          <w:tcPr>
            <w:tcW w:type="dxa" w:w="2736"/>
            <w:vAlign w:val="top"/>
          </w:tcPr>
          <w:p>
            <w:pPr>
              <w:spacing w:after="0"/>
            </w:pPr>
            <w:r>
              <w:rPr>
                <w:rFonts w:ascii="Arial" w:hAnsi="Arial" w:eastAsia="Arial"/>
                <w:sz w:val="14"/>
              </w:rPr>
              <w:t>Cases, stories, and scenarios</w:t>
            </w:r>
          </w:p>
        </w:tc>
        <w:tc>
          <w:tcPr>
            <w:tcW w:type="dxa" w:w="792"/>
            <w:vAlign w:val="top"/>
          </w:tcPr>
          <w:p>
            <w:pPr>
              <w:spacing w:after="0"/>
            </w:pPr>
            <w:r>
              <w:rPr>
                <w:rFonts w:ascii="Arial" w:hAnsi="Arial" w:eastAsia="Arial"/>
                <w:sz w:val="14"/>
              </w:rPr>
              <w:t>2</w:t>
            </w:r>
          </w:p>
        </w:tc>
        <w:tc>
          <w:tcPr>
            <w:tcW w:type="dxa" w:w="3888"/>
            <w:vAlign w:val="top"/>
          </w:tcPr>
          <w:p>
            <w:pPr>
              <w:spacing w:after="0"/>
            </w:pPr>
            <w:r>
              <w:rPr>
                <w:rFonts w:ascii="Arial" w:hAnsi="Arial" w:eastAsia="Arial"/>
                <w:sz w:val="14"/>
              </w:rPr>
              <w:t>Ayele/Lomi and practical scenario elements are useful; safety copy and scenario branching depth need calibration.</w:t>
            </w:r>
          </w:p>
        </w:tc>
        <w:tc>
          <w:tcPr>
            <w:tcW w:type="dxa" w:w="3600"/>
            <w:vAlign w:val="top"/>
          </w:tcPr>
          <w:p>
            <w:pPr>
              <w:spacing w:after="0"/>
            </w:pPr>
            <w:r>
              <w:rPr>
                <w:rFonts w:ascii="Arial" w:hAnsi="Arial" w:eastAsia="Arial"/>
                <w:sz w:val="14"/>
              </w:rPr>
              <w:t>Create story/scenario register and course-level disclaimer.</w:t>
            </w:r>
          </w:p>
        </w:tc>
      </w:tr>
      <w:tr>
        <w:tc>
          <w:tcPr>
            <w:tcW w:type="dxa" w:w="2736"/>
            <w:vAlign w:val="top"/>
          </w:tcPr>
          <w:p>
            <w:pPr>
              <w:spacing w:after="0"/>
            </w:pPr>
            <w:r>
              <w:rPr>
                <w:rFonts w:ascii="Arial" w:hAnsi="Arial" w:eastAsia="Arial"/>
                <w:sz w:val="14"/>
              </w:rPr>
              <w:t>Interaction and learner action</w:t>
            </w:r>
          </w:p>
        </w:tc>
        <w:tc>
          <w:tcPr>
            <w:tcW w:type="dxa" w:w="792"/>
            <w:vAlign w:val="top"/>
          </w:tcPr>
          <w:p>
            <w:pPr>
              <w:spacing w:after="0"/>
            </w:pPr>
            <w:r>
              <w:rPr>
                <w:rFonts w:ascii="Arial" w:hAnsi="Arial" w:eastAsia="Arial"/>
                <w:sz w:val="14"/>
              </w:rPr>
              <w:t>3</w:t>
            </w:r>
          </w:p>
        </w:tc>
        <w:tc>
          <w:tcPr>
            <w:tcW w:type="dxa" w:w="3888"/>
            <w:vAlign w:val="top"/>
          </w:tcPr>
          <w:p>
            <w:pPr>
              <w:spacing w:after="0"/>
            </w:pPr>
            <w:r>
              <w:rPr>
                <w:rFonts w:ascii="Arial" w:hAnsi="Arial" w:eastAsia="Arial"/>
                <w:sz w:val="14"/>
              </w:rPr>
              <w:t>Scenario decision, sorting, matching, self-assessment, quiz, and portfolio checkpoint provide meaningful learner action.</w:t>
            </w:r>
          </w:p>
        </w:tc>
        <w:tc>
          <w:tcPr>
            <w:tcW w:type="dxa" w:w="3600"/>
            <w:vAlign w:val="top"/>
          </w:tcPr>
          <w:p>
            <w:pPr>
              <w:spacing w:after="0"/>
            </w:pPr>
            <w:r>
              <w:rPr>
                <w:rFonts w:ascii="Arial" w:hAnsi="Arial" w:eastAsia="Arial"/>
                <w:sz w:val="14"/>
              </w:rPr>
              <w:t>Define state/completion rules in implementation registry.</w:t>
            </w:r>
          </w:p>
        </w:tc>
      </w:tr>
      <w:tr>
        <w:tc>
          <w:tcPr>
            <w:tcW w:type="dxa" w:w="2736"/>
            <w:vAlign w:val="top"/>
          </w:tcPr>
          <w:p>
            <w:pPr>
              <w:spacing w:after="0"/>
            </w:pPr>
            <w:r>
              <w:rPr>
                <w:rFonts w:ascii="Arial" w:hAnsi="Arial" w:eastAsia="Arial"/>
                <w:sz w:val="14"/>
              </w:rPr>
              <w:t>Practical tool / portfolio integration</w:t>
            </w:r>
          </w:p>
        </w:tc>
        <w:tc>
          <w:tcPr>
            <w:tcW w:type="dxa" w:w="792"/>
            <w:vAlign w:val="top"/>
          </w:tcPr>
          <w:p>
            <w:pPr>
              <w:spacing w:after="0"/>
            </w:pPr>
            <w:r>
              <w:rPr>
                <w:rFonts w:ascii="Arial" w:hAnsi="Arial" w:eastAsia="Arial"/>
                <w:sz w:val="14"/>
              </w:rPr>
              <w:t>3</w:t>
            </w:r>
          </w:p>
        </w:tc>
        <w:tc>
          <w:tcPr>
            <w:tcW w:type="dxa" w:w="3888"/>
            <w:vAlign w:val="top"/>
          </w:tcPr>
          <w:p>
            <w:pPr>
              <w:spacing w:after="0"/>
            </w:pPr>
            <w:r>
              <w:rPr>
                <w:rFonts w:ascii="Arial" w:hAnsi="Arial" w:eastAsia="Arial"/>
                <w:sz w:val="14"/>
              </w:rPr>
              <w:t>Private portfolio and self-assessment are strong and aligned.</w:t>
            </w:r>
          </w:p>
        </w:tc>
        <w:tc>
          <w:tcPr>
            <w:tcW w:type="dxa" w:w="3600"/>
            <w:vAlign w:val="top"/>
          </w:tcPr>
          <w:p>
            <w:pPr>
              <w:spacing w:after="0"/>
            </w:pPr>
            <w:r>
              <w:rPr>
                <w:rFonts w:ascii="Arial" w:hAnsi="Arial" w:eastAsia="Arial"/>
                <w:sz w:val="14"/>
              </w:rPr>
              <w:t>Validate private-by-default data flow.</w:t>
            </w:r>
          </w:p>
        </w:tc>
      </w:tr>
      <w:tr>
        <w:tc>
          <w:tcPr>
            <w:tcW w:type="dxa" w:w="2736"/>
            <w:vAlign w:val="top"/>
          </w:tcPr>
          <w:p>
            <w:pPr>
              <w:spacing w:after="0"/>
            </w:pPr>
            <w:r>
              <w:rPr>
                <w:rFonts w:ascii="Arial" w:hAnsi="Arial" w:eastAsia="Arial"/>
                <w:sz w:val="14"/>
              </w:rPr>
              <w:t>Assessment and feedback</w:t>
            </w:r>
          </w:p>
        </w:tc>
        <w:tc>
          <w:tcPr>
            <w:tcW w:type="dxa" w:w="792"/>
            <w:vAlign w:val="top"/>
          </w:tcPr>
          <w:p>
            <w:pPr>
              <w:spacing w:after="0"/>
            </w:pPr>
            <w:r>
              <w:rPr>
                <w:rFonts w:ascii="Arial" w:hAnsi="Arial" w:eastAsia="Arial"/>
                <w:sz w:val="14"/>
              </w:rPr>
              <w:t>3</w:t>
            </w:r>
          </w:p>
        </w:tc>
        <w:tc>
          <w:tcPr>
            <w:tcW w:type="dxa" w:w="3888"/>
            <w:vAlign w:val="top"/>
          </w:tcPr>
          <w:p>
            <w:pPr>
              <w:spacing w:after="0"/>
            </w:pPr>
            <w:r>
              <w:rPr>
                <w:rFonts w:ascii="Arial" w:hAnsi="Arial" w:eastAsia="Arial"/>
                <w:sz w:val="14"/>
              </w:rPr>
              <w:t>Formative-only rule, option-level feedback, and certificate separation are strong.</w:t>
            </w:r>
          </w:p>
        </w:tc>
        <w:tc>
          <w:tcPr>
            <w:tcW w:type="dxa" w:w="3600"/>
            <w:vAlign w:val="top"/>
          </w:tcPr>
          <w:p>
            <w:pPr>
              <w:spacing w:after="0"/>
            </w:pPr>
            <w:r>
              <w:rPr>
                <w:rFonts w:ascii="Arial" w:hAnsi="Arial" w:eastAsia="Arial"/>
                <w:sz w:val="14"/>
              </w:rPr>
              <w:t>QA all item-level wording.</w:t>
            </w:r>
          </w:p>
        </w:tc>
      </w:tr>
      <w:tr>
        <w:tc>
          <w:tcPr>
            <w:tcW w:type="dxa" w:w="2736"/>
            <w:vAlign w:val="top"/>
          </w:tcPr>
          <w:p>
            <w:pPr>
              <w:spacing w:after="0"/>
            </w:pPr>
            <w:r>
              <w:rPr>
                <w:rFonts w:ascii="Arial" w:hAnsi="Arial" w:eastAsia="Arial"/>
                <w:sz w:val="14"/>
              </w:rPr>
              <w:t>Visual asset readiness</w:t>
            </w:r>
          </w:p>
        </w:tc>
        <w:tc>
          <w:tcPr>
            <w:tcW w:type="dxa" w:w="792"/>
            <w:vAlign w:val="top"/>
          </w:tcPr>
          <w:p>
            <w:pPr>
              <w:spacing w:after="0"/>
            </w:pPr>
            <w:r>
              <w:rPr>
                <w:rFonts w:ascii="Arial" w:hAnsi="Arial" w:eastAsia="Arial"/>
                <w:sz w:val="14"/>
              </w:rPr>
              <w:t>2</w:t>
            </w:r>
          </w:p>
        </w:tc>
        <w:tc>
          <w:tcPr>
            <w:tcW w:type="dxa" w:w="3888"/>
            <w:vAlign w:val="top"/>
          </w:tcPr>
          <w:p>
            <w:pPr>
              <w:spacing w:after="0"/>
            </w:pPr>
            <w:r>
              <w:rPr>
                <w:rFonts w:ascii="Arial" w:hAnsi="Arial" w:eastAsia="Arial"/>
                <w:sz w:val="14"/>
              </w:rPr>
              <w:t>Asset placeholders and alt-text requirements exist but final assets/prompts are not yet locked.</w:t>
            </w:r>
          </w:p>
        </w:tc>
        <w:tc>
          <w:tcPr>
            <w:tcW w:type="dxa" w:w="3600"/>
            <w:vAlign w:val="top"/>
          </w:tcPr>
          <w:p>
            <w:pPr>
              <w:spacing w:after="0"/>
            </w:pPr>
            <w:r>
              <w:rPr>
                <w:rFonts w:ascii="Arial" w:hAnsi="Arial" w:eastAsia="Arial"/>
                <w:sz w:val="14"/>
              </w:rPr>
              <w:t>Produce visual asset prompt pack and filename register.</w:t>
            </w:r>
          </w:p>
        </w:tc>
      </w:tr>
      <w:tr>
        <w:tc>
          <w:tcPr>
            <w:tcW w:type="dxa" w:w="2736"/>
            <w:vAlign w:val="top"/>
          </w:tcPr>
          <w:p>
            <w:pPr>
              <w:spacing w:after="0"/>
            </w:pPr>
            <w:r>
              <w:rPr>
                <w:rFonts w:ascii="Arial" w:hAnsi="Arial" w:eastAsia="Arial"/>
                <w:sz w:val="14"/>
              </w:rPr>
              <w:t>Accessibility and low bandwidth</w:t>
            </w:r>
          </w:p>
        </w:tc>
        <w:tc>
          <w:tcPr>
            <w:tcW w:type="dxa" w:w="792"/>
            <w:vAlign w:val="top"/>
          </w:tcPr>
          <w:p>
            <w:pPr>
              <w:spacing w:after="0"/>
            </w:pPr>
            <w:r>
              <w:rPr>
                <w:rFonts w:ascii="Arial" w:hAnsi="Arial" w:eastAsia="Arial"/>
                <w:sz w:val="14"/>
              </w:rPr>
              <w:t>3</w:t>
            </w:r>
          </w:p>
        </w:tc>
        <w:tc>
          <w:tcPr>
            <w:tcW w:type="dxa" w:w="3888"/>
            <w:vAlign w:val="top"/>
          </w:tcPr>
          <w:p>
            <w:pPr>
              <w:spacing w:after="0"/>
            </w:pPr>
            <w:r>
              <w:rPr>
                <w:rFonts w:ascii="Arial" w:hAnsi="Arial" w:eastAsia="Arial"/>
                <w:sz w:val="14"/>
              </w:rPr>
              <w:t>Transcript, captions, non-drag alternatives, mobile stack, screen-reader labels, and text alternatives are specified.</w:t>
            </w:r>
          </w:p>
        </w:tc>
        <w:tc>
          <w:tcPr>
            <w:tcW w:type="dxa" w:w="3600"/>
            <w:vAlign w:val="top"/>
          </w:tcPr>
          <w:p>
            <w:pPr>
              <w:spacing w:after="0"/>
            </w:pPr>
            <w:r>
              <w:rPr>
                <w:rFonts w:ascii="Arial" w:hAnsi="Arial" w:eastAsia="Arial"/>
                <w:sz w:val="14"/>
              </w:rPr>
              <w:t>Test in build; do not rely on media only.</w:t>
            </w:r>
          </w:p>
        </w:tc>
      </w:tr>
      <w:tr>
        <w:tc>
          <w:tcPr>
            <w:tcW w:type="dxa" w:w="2736"/>
            <w:vAlign w:val="top"/>
          </w:tcPr>
          <w:p>
            <w:pPr>
              <w:spacing w:after="0"/>
            </w:pPr>
            <w:r>
              <w:rPr>
                <w:rFonts w:ascii="Arial" w:hAnsi="Arial" w:eastAsia="Arial"/>
                <w:sz w:val="14"/>
              </w:rPr>
              <w:t>Safety, privacy, and data minimization</w:t>
            </w:r>
          </w:p>
        </w:tc>
        <w:tc>
          <w:tcPr>
            <w:tcW w:type="dxa" w:w="792"/>
            <w:vAlign w:val="top"/>
          </w:tcPr>
          <w:p>
            <w:pPr>
              <w:spacing w:after="0"/>
            </w:pPr>
            <w:r>
              <w:rPr>
                <w:rFonts w:ascii="Arial" w:hAnsi="Arial" w:eastAsia="Arial"/>
                <w:sz w:val="14"/>
              </w:rPr>
              <w:t>3</w:t>
            </w:r>
          </w:p>
        </w:tc>
        <w:tc>
          <w:tcPr>
            <w:tcW w:type="dxa" w:w="3888"/>
            <w:vAlign w:val="top"/>
          </w:tcPr>
          <w:p>
            <w:pPr>
              <w:spacing w:after="0"/>
            </w:pPr>
            <w:r>
              <w:rPr>
                <w:rFonts w:ascii="Arial" w:hAnsi="Arial" w:eastAsia="Arial"/>
                <w:sz w:val="14"/>
              </w:rPr>
              <w:t>Strong safe-by-default rules; no sensitive data uploads requested.</w:t>
            </w:r>
          </w:p>
        </w:tc>
        <w:tc>
          <w:tcPr>
            <w:tcW w:type="dxa" w:w="3600"/>
            <w:vAlign w:val="top"/>
          </w:tcPr>
          <w:p>
            <w:pPr>
              <w:spacing w:after="0"/>
            </w:pPr>
            <w:r>
              <w:rPr>
                <w:rFonts w:ascii="Arial" w:hAnsi="Arial" w:eastAsia="Arial"/>
                <w:sz w:val="14"/>
              </w:rPr>
              <w:t>Confirm no AI processing of raw private notes or self-assessment notes.</w:t>
            </w:r>
          </w:p>
        </w:tc>
      </w:tr>
    </w:tbl>
    <w:p/>
    <w:p>
      <w:pPr>
        <w:pStyle w:val="Heading1"/>
      </w:pPr>
      <w:r>
        <w:t>4. Section-level findings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880"/>
            <w:vAlign w:val="center"/>
            <w:shd w:fill="0F172A"/>
          </w:tcPr>
          <w:p>
            <w:pPr>
              <w:spacing w:after="0"/>
            </w:pPr>
            <w:r>
              <w:rPr>
                <w:rFonts w:ascii="Arial" w:hAnsi="Arial" w:eastAsia="Arial"/>
                <w:b/>
                <w:color w:val="FFFFFF"/>
                <w:sz w:val="15"/>
              </w:rPr>
              <w:t>Section</w:t>
            </w:r>
          </w:p>
        </w:tc>
        <w:tc>
          <w:tcPr>
            <w:tcW w:type="dxa" w:w="720"/>
            <w:vAlign w:val="center"/>
            <w:shd w:fill="0F172A"/>
          </w:tcPr>
          <w:p>
            <w:pPr>
              <w:spacing w:after="0"/>
            </w:pPr>
            <w:r>
              <w:rPr>
                <w:rFonts w:ascii="Arial" w:hAnsi="Arial" w:eastAsia="Arial"/>
                <w:b/>
                <w:color w:val="FFFFFF"/>
                <w:sz w:val="15"/>
              </w:rPr>
              <w:t>Blocks</w:t>
            </w:r>
          </w:p>
        </w:tc>
        <w:tc>
          <w:tcPr>
            <w:tcW w:type="dxa" w:w="936"/>
            <w:vAlign w:val="center"/>
            <w:shd w:fill="0F172A"/>
          </w:tcPr>
          <w:p>
            <w:pPr>
              <w:spacing w:after="0"/>
            </w:pPr>
            <w:r>
              <w:rPr>
                <w:rFonts w:ascii="Arial" w:hAnsi="Arial" w:eastAsia="Arial"/>
                <w:b/>
                <w:color w:val="FFFFFF"/>
                <w:sz w:val="15"/>
              </w:rPr>
              <w:t>Avg. score</w:t>
            </w:r>
          </w:p>
        </w:tc>
        <w:tc>
          <w:tcPr>
            <w:tcW w:type="dxa" w:w="3456"/>
            <w:vAlign w:val="center"/>
            <w:shd w:fill="0F172A"/>
          </w:tcPr>
          <w:p>
            <w:pPr>
              <w:spacing w:after="0"/>
            </w:pPr>
            <w:r>
              <w:rPr>
                <w:rFonts w:ascii="Arial" w:hAnsi="Arial" w:eastAsia="Arial"/>
                <w:b/>
                <w:color w:val="FFFFFF"/>
                <w:sz w:val="15"/>
              </w:rPr>
              <w:t>Main finding</w:t>
            </w:r>
          </w:p>
        </w:tc>
        <w:tc>
          <w:tcPr>
            <w:tcW w:type="dxa" w:w="3168"/>
            <w:vAlign w:val="center"/>
            <w:shd w:fill="0F172A"/>
          </w:tcPr>
          <w:p>
            <w:pPr>
              <w:spacing w:after="0"/>
            </w:pPr>
            <w:r>
              <w:rPr>
                <w:rFonts w:ascii="Arial" w:hAnsi="Arial" w:eastAsia="Arial"/>
                <w:b/>
                <w:color w:val="FFFFFF"/>
                <w:sz w:val="15"/>
              </w:rPr>
              <w:t>Priority action</w:t>
            </w:r>
          </w:p>
        </w:tc>
      </w:tr>
      <w:tr>
        <w:tc>
          <w:tcPr>
            <w:tcW w:type="dxa" w:w="2880"/>
            <w:vAlign w:val="top"/>
          </w:tcPr>
          <w:p>
            <w:pPr>
              <w:spacing w:after="0"/>
            </w:pPr>
            <w:r>
              <w:rPr>
                <w:rFonts w:ascii="Arial" w:hAnsi="Arial" w:eastAsia="Arial"/>
                <w:sz w:val="15"/>
              </w:rPr>
              <w:t>1 Welcome and Safe Start</w:t>
            </w:r>
          </w:p>
        </w:tc>
        <w:tc>
          <w:tcPr>
            <w:tcW w:type="dxa" w:w="720"/>
            <w:vAlign w:val="top"/>
          </w:tcPr>
          <w:p>
            <w:pPr>
              <w:spacing w:after="0"/>
            </w:pPr>
            <w:r>
              <w:rPr>
                <w:rFonts w:ascii="Arial" w:hAnsi="Arial" w:eastAsia="Arial"/>
                <w:sz w:val="15"/>
              </w:rPr>
              <w:t>10</w:t>
            </w:r>
          </w:p>
        </w:tc>
        <w:tc>
          <w:tcPr>
            <w:tcW w:type="dxa" w:w="936"/>
            <w:vAlign w:val="top"/>
          </w:tcPr>
          <w:p>
            <w:pPr>
              <w:spacing w:after="0"/>
            </w:pPr>
            <w:r>
              <w:rPr>
                <w:rFonts w:ascii="Arial" w:hAnsi="Arial" w:eastAsia="Arial"/>
                <w:sz w:val="15"/>
              </w:rPr>
              <w:t>2.1</w:t>
            </w:r>
          </w:p>
        </w:tc>
        <w:tc>
          <w:tcPr>
            <w:tcW w:type="dxa" w:w="3456"/>
            <w:vAlign w:val="top"/>
          </w:tcPr>
          <w:p>
            <w:pPr>
              <w:spacing w:after="0"/>
            </w:pPr>
            <w:r>
              <w:rPr>
                <w:rFonts w:ascii="Arial" w:hAnsi="Arial" w:eastAsia="Arial"/>
                <w:sz w:val="15"/>
              </w:rPr>
              <w:t>Strong orientation and safety; risk of orientation length and need for player cover/help overlay integration.</w:t>
            </w:r>
          </w:p>
        </w:tc>
        <w:tc>
          <w:tcPr>
            <w:tcW w:type="dxa" w:w="3168"/>
            <w:vAlign w:val="top"/>
          </w:tcPr>
          <w:p>
            <w:pPr>
              <w:spacing w:after="0"/>
            </w:pPr>
            <w:r>
              <w:rPr>
                <w:rFonts w:ascii="Arial" w:hAnsi="Arial" w:eastAsia="Arial"/>
                <w:sz w:val="15"/>
              </w:rPr>
              <w:t>Confirm module cover, Help Overlay, and no excessive orientation.</w:t>
            </w:r>
          </w:p>
        </w:tc>
      </w:tr>
      <w:tr>
        <w:tc>
          <w:tcPr>
            <w:tcW w:type="dxa" w:w="2880"/>
            <w:vAlign w:val="top"/>
          </w:tcPr>
          <w:p>
            <w:pPr>
              <w:spacing w:after="0"/>
            </w:pPr>
            <w:r>
              <w:rPr>
                <w:rFonts w:ascii="Arial" w:hAnsi="Arial" w:eastAsia="Arial"/>
                <w:sz w:val="15"/>
              </w:rPr>
              <w:t>2 Why HRBA Matters for Local CSOs</w:t>
            </w:r>
          </w:p>
        </w:tc>
        <w:tc>
          <w:tcPr>
            <w:tcW w:type="dxa" w:w="720"/>
            <w:vAlign w:val="top"/>
          </w:tcPr>
          <w:p>
            <w:pPr>
              <w:spacing w:after="0"/>
            </w:pPr>
            <w:r>
              <w:rPr>
                <w:rFonts w:ascii="Arial" w:hAnsi="Arial" w:eastAsia="Arial"/>
                <w:sz w:val="15"/>
              </w:rPr>
              <w:t>5</w:t>
            </w:r>
          </w:p>
        </w:tc>
        <w:tc>
          <w:tcPr>
            <w:tcW w:type="dxa" w:w="936"/>
            <w:vAlign w:val="top"/>
          </w:tcPr>
          <w:p>
            <w:pPr>
              <w:spacing w:after="0"/>
            </w:pPr>
            <w:r>
              <w:rPr>
                <w:rFonts w:ascii="Arial" w:hAnsi="Arial" w:eastAsia="Arial"/>
                <w:sz w:val="15"/>
              </w:rPr>
              <w:t>2.2</w:t>
            </w:r>
          </w:p>
        </w:tc>
        <w:tc>
          <w:tcPr>
            <w:tcW w:type="dxa" w:w="3456"/>
            <w:vAlign w:val="top"/>
          </w:tcPr>
          <w:p>
            <w:pPr>
              <w:spacing w:after="0"/>
            </w:pPr>
            <w:r>
              <w:rPr>
                <w:rFonts w:ascii="Arial" w:hAnsi="Arial" w:eastAsia="Arial"/>
                <w:sz w:val="15"/>
              </w:rPr>
              <w:t>Strong and coherent</w:t>
            </w:r>
          </w:p>
        </w:tc>
        <w:tc>
          <w:tcPr>
            <w:tcW w:type="dxa" w:w="3168"/>
            <w:vAlign w:val="top"/>
          </w:tcPr>
          <w:p>
            <w:pPr>
              <w:spacing w:after="0"/>
            </w:pPr>
            <w:r>
              <w:rPr>
                <w:rFonts w:ascii="Arial" w:hAnsi="Arial" w:eastAsia="Arial"/>
                <w:sz w:val="15"/>
              </w:rPr>
              <w:t>Standard QA</w:t>
            </w:r>
          </w:p>
        </w:tc>
      </w:tr>
      <w:tr>
        <w:tc>
          <w:tcPr>
            <w:tcW w:type="dxa" w:w="2880"/>
            <w:vAlign w:val="top"/>
          </w:tcPr>
          <w:p>
            <w:pPr>
              <w:spacing w:after="0"/>
            </w:pPr>
            <w:r>
              <w:rPr>
                <w:rFonts w:ascii="Arial" w:hAnsi="Arial" w:eastAsia="Arial"/>
                <w:sz w:val="15"/>
              </w:rPr>
              <w:t>3 The First HRBA Shift</w:t>
            </w:r>
          </w:p>
        </w:tc>
        <w:tc>
          <w:tcPr>
            <w:tcW w:type="dxa" w:w="720"/>
            <w:vAlign w:val="top"/>
          </w:tcPr>
          <w:p>
            <w:pPr>
              <w:spacing w:after="0"/>
            </w:pPr>
            <w:r>
              <w:rPr>
                <w:rFonts w:ascii="Arial" w:hAnsi="Arial" w:eastAsia="Arial"/>
                <w:sz w:val="15"/>
              </w:rPr>
              <w:t>5</w:t>
            </w:r>
          </w:p>
        </w:tc>
        <w:tc>
          <w:tcPr>
            <w:tcW w:type="dxa" w:w="936"/>
            <w:vAlign w:val="top"/>
          </w:tcPr>
          <w:p>
            <w:pPr>
              <w:spacing w:after="0"/>
            </w:pPr>
            <w:r>
              <w:rPr>
                <w:rFonts w:ascii="Arial" w:hAnsi="Arial" w:eastAsia="Arial"/>
                <w:sz w:val="15"/>
              </w:rPr>
              <w:t>2.6</w:t>
            </w:r>
          </w:p>
        </w:tc>
        <w:tc>
          <w:tcPr>
            <w:tcW w:type="dxa" w:w="3456"/>
            <w:vAlign w:val="top"/>
          </w:tcPr>
          <w:p>
            <w:pPr>
              <w:spacing w:after="0"/>
            </w:pPr>
            <w:r>
              <w:rPr>
                <w:rFonts w:ascii="Arial" w:hAnsi="Arial" w:eastAsia="Arial"/>
                <w:sz w:val="15"/>
              </w:rPr>
              <w:t>Strong and coherent</w:t>
            </w:r>
          </w:p>
        </w:tc>
        <w:tc>
          <w:tcPr>
            <w:tcW w:type="dxa" w:w="3168"/>
            <w:vAlign w:val="top"/>
          </w:tcPr>
          <w:p>
            <w:pPr>
              <w:spacing w:after="0"/>
            </w:pPr>
            <w:r>
              <w:rPr>
                <w:rFonts w:ascii="Arial" w:hAnsi="Arial" w:eastAsia="Arial"/>
                <w:sz w:val="15"/>
              </w:rPr>
              <w:t>Standard QA</w:t>
            </w:r>
          </w:p>
        </w:tc>
      </w:tr>
      <w:tr>
        <w:tc>
          <w:tcPr>
            <w:tcW w:type="dxa" w:w="2880"/>
            <w:vAlign w:val="top"/>
          </w:tcPr>
          <w:p>
            <w:pPr>
              <w:spacing w:after="0"/>
            </w:pPr>
            <w:r>
              <w:rPr>
                <w:rFonts w:ascii="Arial" w:hAnsi="Arial" w:eastAsia="Arial"/>
                <w:sz w:val="15"/>
              </w:rPr>
              <w:t>4 Charity/Needs/Service/Rights-Based Practice</w:t>
            </w:r>
          </w:p>
        </w:tc>
        <w:tc>
          <w:tcPr>
            <w:tcW w:type="dxa" w:w="720"/>
            <w:vAlign w:val="top"/>
          </w:tcPr>
          <w:p>
            <w:pPr>
              <w:spacing w:after="0"/>
            </w:pPr>
            <w:r>
              <w:rPr>
                <w:rFonts w:ascii="Arial" w:hAnsi="Arial" w:eastAsia="Arial"/>
                <w:sz w:val="15"/>
              </w:rPr>
              <w:t>4</w:t>
            </w:r>
          </w:p>
        </w:tc>
        <w:tc>
          <w:tcPr>
            <w:tcW w:type="dxa" w:w="936"/>
            <w:vAlign w:val="top"/>
          </w:tcPr>
          <w:p>
            <w:pPr>
              <w:spacing w:after="0"/>
            </w:pPr>
            <w:r>
              <w:rPr>
                <w:rFonts w:ascii="Arial" w:hAnsi="Arial" w:eastAsia="Arial"/>
                <w:sz w:val="15"/>
              </w:rPr>
              <w:t>2.5</w:t>
            </w:r>
          </w:p>
        </w:tc>
        <w:tc>
          <w:tcPr>
            <w:tcW w:type="dxa" w:w="3456"/>
            <w:vAlign w:val="top"/>
          </w:tcPr>
          <w:p>
            <w:pPr>
              <w:spacing w:after="0"/>
            </w:pPr>
            <w:r>
              <w:rPr>
                <w:rFonts w:ascii="Arial" w:hAnsi="Arial" w:eastAsia="Arial"/>
                <w:sz w:val="15"/>
              </w:rPr>
              <w:t>Strong and coherent</w:t>
            </w:r>
          </w:p>
        </w:tc>
        <w:tc>
          <w:tcPr>
            <w:tcW w:type="dxa" w:w="3168"/>
            <w:vAlign w:val="top"/>
          </w:tcPr>
          <w:p>
            <w:pPr>
              <w:spacing w:after="0"/>
            </w:pPr>
            <w:r>
              <w:rPr>
                <w:rFonts w:ascii="Arial" w:hAnsi="Arial" w:eastAsia="Arial"/>
                <w:sz w:val="15"/>
              </w:rPr>
              <w:t>Standard QA</w:t>
            </w:r>
          </w:p>
        </w:tc>
      </w:tr>
      <w:tr>
        <w:tc>
          <w:tcPr>
            <w:tcW w:type="dxa" w:w="2880"/>
            <w:vAlign w:val="top"/>
          </w:tcPr>
          <w:p>
            <w:pPr>
              <w:spacing w:after="0"/>
            </w:pPr>
            <w:r>
              <w:rPr>
                <w:rFonts w:ascii="Arial" w:hAnsi="Arial" w:eastAsia="Arial"/>
                <w:sz w:val="15"/>
              </w:rPr>
              <w:t>5 Rights-Holders/Duty-Bearers/CSO Role</w:t>
            </w:r>
          </w:p>
        </w:tc>
        <w:tc>
          <w:tcPr>
            <w:tcW w:type="dxa" w:w="720"/>
            <w:vAlign w:val="top"/>
          </w:tcPr>
          <w:p>
            <w:pPr>
              <w:spacing w:after="0"/>
            </w:pPr>
            <w:r>
              <w:rPr>
                <w:rFonts w:ascii="Arial" w:hAnsi="Arial" w:eastAsia="Arial"/>
                <w:sz w:val="15"/>
              </w:rPr>
              <w:t>5</w:t>
            </w:r>
          </w:p>
        </w:tc>
        <w:tc>
          <w:tcPr>
            <w:tcW w:type="dxa" w:w="936"/>
            <w:vAlign w:val="top"/>
          </w:tcPr>
          <w:p>
            <w:pPr>
              <w:spacing w:after="0"/>
            </w:pPr>
            <w:r>
              <w:rPr>
                <w:rFonts w:ascii="Arial" w:hAnsi="Arial" w:eastAsia="Arial"/>
                <w:sz w:val="15"/>
              </w:rPr>
              <w:t>2.2</w:t>
            </w:r>
          </w:p>
        </w:tc>
        <w:tc>
          <w:tcPr>
            <w:tcW w:type="dxa" w:w="3456"/>
            <w:vAlign w:val="top"/>
          </w:tcPr>
          <w:p>
            <w:pPr>
              <w:spacing w:after="0"/>
            </w:pPr>
            <w:r>
              <w:rPr>
                <w:rFonts w:ascii="Arial" w:hAnsi="Arial" w:eastAsia="Arial"/>
                <w:sz w:val="15"/>
              </w:rPr>
              <w:t>Strong and coherent</w:t>
            </w:r>
          </w:p>
        </w:tc>
        <w:tc>
          <w:tcPr>
            <w:tcW w:type="dxa" w:w="3168"/>
            <w:vAlign w:val="top"/>
          </w:tcPr>
          <w:p>
            <w:pPr>
              <w:spacing w:after="0"/>
            </w:pPr>
            <w:r>
              <w:rPr>
                <w:rFonts w:ascii="Arial" w:hAnsi="Arial" w:eastAsia="Arial"/>
                <w:sz w:val="15"/>
              </w:rPr>
              <w:t>Standard QA</w:t>
            </w:r>
          </w:p>
        </w:tc>
      </w:tr>
      <w:tr>
        <w:tc>
          <w:tcPr>
            <w:tcW w:type="dxa" w:w="2880"/>
            <w:vAlign w:val="top"/>
          </w:tcPr>
          <w:p>
            <w:pPr>
              <w:spacing w:after="0"/>
            </w:pPr>
            <w:r>
              <w:rPr>
                <w:rFonts w:ascii="Arial" w:hAnsi="Arial" w:eastAsia="Arial"/>
                <w:sz w:val="15"/>
              </w:rPr>
              <w:t>6 HRBA Starting Point Self-Assessment</w:t>
            </w:r>
          </w:p>
        </w:tc>
        <w:tc>
          <w:tcPr>
            <w:tcW w:type="dxa" w:w="720"/>
            <w:vAlign w:val="top"/>
          </w:tcPr>
          <w:p>
            <w:pPr>
              <w:spacing w:after="0"/>
            </w:pPr>
            <w:r>
              <w:rPr>
                <w:rFonts w:ascii="Arial" w:hAnsi="Arial" w:eastAsia="Arial"/>
                <w:sz w:val="15"/>
              </w:rPr>
              <w:t>10</w:t>
            </w:r>
          </w:p>
        </w:tc>
        <w:tc>
          <w:tcPr>
            <w:tcW w:type="dxa" w:w="936"/>
            <w:vAlign w:val="top"/>
          </w:tcPr>
          <w:p>
            <w:pPr>
              <w:spacing w:after="0"/>
            </w:pPr>
            <w:r>
              <w:rPr>
                <w:rFonts w:ascii="Arial" w:hAnsi="Arial" w:eastAsia="Arial"/>
                <w:sz w:val="15"/>
              </w:rPr>
              <w:t>2.5</w:t>
            </w:r>
          </w:p>
        </w:tc>
        <w:tc>
          <w:tcPr>
            <w:tcW w:type="dxa" w:w="3456"/>
            <w:vAlign w:val="top"/>
          </w:tcPr>
          <w:p>
            <w:pPr>
              <w:spacing w:after="0"/>
            </w:pPr>
            <w:r>
              <w:rPr>
                <w:rFonts w:ascii="Arial" w:hAnsi="Arial" w:eastAsia="Arial"/>
                <w:sz w:val="15"/>
              </w:rPr>
              <w:t>Strong private self-assessment and portfolio logic.</w:t>
            </w:r>
          </w:p>
        </w:tc>
        <w:tc>
          <w:tcPr>
            <w:tcW w:type="dxa" w:w="3168"/>
            <w:vAlign w:val="top"/>
          </w:tcPr>
          <w:p>
            <w:pPr>
              <w:spacing w:after="0"/>
            </w:pPr>
            <w:r>
              <w:rPr>
                <w:rFonts w:ascii="Arial" w:hAnsi="Arial" w:eastAsia="Arial"/>
                <w:sz w:val="15"/>
              </w:rPr>
              <w:t>QA scoring, N/A, privacy, and no AI/raw note processing.</w:t>
            </w:r>
          </w:p>
        </w:tc>
      </w:tr>
      <w:tr>
        <w:tc>
          <w:tcPr>
            <w:tcW w:type="dxa" w:w="2880"/>
            <w:vAlign w:val="top"/>
          </w:tcPr>
          <w:p>
            <w:pPr>
              <w:spacing w:after="0"/>
            </w:pPr>
            <w:r>
              <w:rPr>
                <w:rFonts w:ascii="Arial" w:hAnsi="Arial" w:eastAsia="Arial"/>
                <w:sz w:val="15"/>
              </w:rPr>
              <w:t>7 Portfolio/Quiz/Next Step</w:t>
            </w:r>
          </w:p>
        </w:tc>
        <w:tc>
          <w:tcPr>
            <w:tcW w:type="dxa" w:w="720"/>
            <w:vAlign w:val="top"/>
          </w:tcPr>
          <w:p>
            <w:pPr>
              <w:spacing w:after="0"/>
            </w:pPr>
            <w:r>
              <w:rPr>
                <w:rFonts w:ascii="Arial" w:hAnsi="Arial" w:eastAsia="Arial"/>
                <w:sz w:val="15"/>
              </w:rPr>
              <w:t>5</w:t>
            </w:r>
          </w:p>
        </w:tc>
        <w:tc>
          <w:tcPr>
            <w:tcW w:type="dxa" w:w="936"/>
            <w:vAlign w:val="top"/>
          </w:tcPr>
          <w:p>
            <w:pPr>
              <w:spacing w:after="0"/>
            </w:pPr>
            <w:r>
              <w:rPr>
                <w:rFonts w:ascii="Arial" w:hAnsi="Arial" w:eastAsia="Arial"/>
                <w:sz w:val="15"/>
              </w:rPr>
              <w:t>2.4</w:t>
            </w:r>
          </w:p>
        </w:tc>
        <w:tc>
          <w:tcPr>
            <w:tcW w:type="dxa" w:w="3456"/>
            <w:vAlign w:val="top"/>
          </w:tcPr>
          <w:p>
            <w:pPr>
              <w:spacing w:after="0"/>
            </w:pPr>
            <w:r>
              <w:rPr>
                <w:rFonts w:ascii="Arial" w:hAnsi="Arial" w:eastAsia="Arial"/>
                <w:sz w:val="15"/>
              </w:rPr>
              <w:t>Good wrap-up; needs platform transition and completion-state mapping.</w:t>
            </w:r>
          </w:p>
        </w:tc>
        <w:tc>
          <w:tcPr>
            <w:tcW w:type="dxa" w:w="3168"/>
            <w:vAlign w:val="top"/>
          </w:tcPr>
          <w:p>
            <w:pPr>
              <w:spacing w:after="0"/>
            </w:pPr>
            <w:r>
              <w:rPr>
                <w:rFonts w:ascii="Arial" w:hAnsi="Arial" w:eastAsia="Arial"/>
                <w:sz w:val="15"/>
              </w:rPr>
              <w:t>Define return-to-platform progress and Module 2 CTA.</w:t>
            </w:r>
          </w:p>
        </w:tc>
      </w:tr>
    </w:tbl>
    <w:p/>
    <w:p>
      <w:pPr>
        <w:pStyle w:val="Heading1"/>
      </w:pPr>
      <w:r>
        <w:t>5. Targeted repair priorities</w:t>
      </w:r>
    </w:p>
    <w:p>
      <w:r>
        <w:t>The following action log should be treated as the Module 1 repair backlog. High-priority items must be resolved before prototype build. Medium-priority items can be resolved during build preparation but must be closed before QA approval.</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037"/>
            <w:vAlign w:val="center"/>
            <w:shd w:fill="0F172A"/>
          </w:tcPr>
          <w:p>
            <w:pPr>
              <w:spacing w:after="0"/>
            </w:pPr>
            <w:r>
              <w:rPr>
                <w:rFonts w:ascii="Arial" w:hAnsi="Arial" w:eastAsia="Arial"/>
                <w:b/>
                <w:color w:val="FFFFFF"/>
                <w:sz w:val="13"/>
              </w:rPr>
              <w:t>ID</w:t>
            </w:r>
          </w:p>
        </w:tc>
        <w:tc>
          <w:tcPr>
            <w:tcW w:type="dxa" w:w="792"/>
            <w:vAlign w:val="center"/>
            <w:shd w:fill="0F172A"/>
          </w:tcPr>
          <w:p>
            <w:pPr>
              <w:spacing w:after="0"/>
            </w:pPr>
            <w:r>
              <w:rPr>
                <w:rFonts w:ascii="Arial" w:hAnsi="Arial" w:eastAsia="Arial"/>
                <w:b/>
                <w:color w:val="FFFFFF"/>
                <w:sz w:val="13"/>
              </w:rPr>
              <w:t>Priority</w:t>
            </w:r>
          </w:p>
        </w:tc>
        <w:tc>
          <w:tcPr>
            <w:tcW w:type="dxa" w:w="1584"/>
            <w:vAlign w:val="center"/>
            <w:shd w:fill="0F172A"/>
          </w:tcPr>
          <w:p>
            <w:pPr>
              <w:spacing w:after="0"/>
            </w:pPr>
            <w:r>
              <w:rPr>
                <w:rFonts w:ascii="Arial" w:hAnsi="Arial" w:eastAsia="Arial"/>
                <w:b/>
                <w:color w:val="FFFFFF"/>
                <w:sz w:val="13"/>
              </w:rPr>
              <w:t>Area</w:t>
            </w:r>
          </w:p>
        </w:tc>
        <w:tc>
          <w:tcPr>
            <w:tcW w:type="dxa" w:w="3096"/>
            <w:vAlign w:val="center"/>
            <w:shd w:fill="0F172A"/>
          </w:tcPr>
          <w:p>
            <w:pPr>
              <w:spacing w:after="0"/>
            </w:pPr>
            <w:r>
              <w:rPr>
                <w:rFonts w:ascii="Arial" w:hAnsi="Arial" w:eastAsia="Arial"/>
                <w:b/>
                <w:color w:val="FFFFFF"/>
                <w:sz w:val="13"/>
              </w:rPr>
              <w:t>Issue / gap</w:t>
            </w:r>
          </w:p>
        </w:tc>
        <w:tc>
          <w:tcPr>
            <w:tcW w:type="dxa" w:w="3240"/>
            <w:vAlign w:val="center"/>
            <w:shd w:fill="0F172A"/>
          </w:tcPr>
          <w:p>
            <w:pPr>
              <w:spacing w:after="0"/>
            </w:pPr>
            <w:r>
              <w:rPr>
                <w:rFonts w:ascii="Arial" w:hAnsi="Arial" w:eastAsia="Arial"/>
                <w:b/>
                <w:color w:val="FFFFFF"/>
                <w:sz w:val="13"/>
              </w:rPr>
              <w:t>Recommended action</w:t>
            </w:r>
          </w:p>
        </w:tc>
        <w:tc>
          <w:tcPr>
            <w:tcW w:type="dxa" w:w="2880"/>
            <w:vAlign w:val="center"/>
            <w:shd w:fill="0F172A"/>
          </w:tcPr>
          <w:p>
            <w:pPr>
              <w:spacing w:after="0"/>
            </w:pPr>
            <w:r>
              <w:rPr>
                <w:rFonts w:ascii="Arial" w:hAnsi="Arial" w:eastAsia="Arial"/>
                <w:b/>
                <w:color w:val="FFFFFF"/>
                <w:sz w:val="13"/>
              </w:rPr>
              <w:t>Acceptance evidence</w:t>
            </w:r>
          </w:p>
        </w:tc>
      </w:tr>
      <w:tr>
        <w:tc>
          <w:tcPr>
            <w:tcW w:type="dxa" w:w="1037"/>
            <w:vAlign w:val="top"/>
          </w:tcPr>
          <w:p>
            <w:pPr>
              <w:spacing w:after="0"/>
            </w:pPr>
            <w:r>
              <w:rPr>
                <w:rFonts w:ascii="Arial" w:hAnsi="Arial" w:eastAsia="Arial"/>
                <w:sz w:val="13"/>
              </w:rPr>
              <w:t>M1-IMP-001</w:t>
            </w:r>
          </w:p>
        </w:tc>
        <w:tc>
          <w:tcPr>
            <w:tcW w:type="dxa" w:w="792"/>
            <w:vAlign w:val="top"/>
          </w:tcPr>
          <w:p>
            <w:pPr>
              <w:spacing w:after="0"/>
            </w:pPr>
            <w:r>
              <w:rPr>
                <w:rFonts w:ascii="Arial" w:hAnsi="Arial" w:eastAsia="Arial"/>
                <w:sz w:val="13"/>
              </w:rPr>
              <w:t>High</w:t>
            </w:r>
          </w:p>
        </w:tc>
        <w:tc>
          <w:tcPr>
            <w:tcW w:type="dxa" w:w="1584"/>
            <w:vAlign w:val="top"/>
          </w:tcPr>
          <w:p>
            <w:pPr>
              <w:spacing w:after="0"/>
            </w:pPr>
            <w:r>
              <w:rPr>
                <w:rFonts w:ascii="Arial" w:hAnsi="Arial" w:eastAsia="Arial"/>
                <w:sz w:val="13"/>
              </w:rPr>
              <w:t>Two-layer architecture</w:t>
            </w:r>
          </w:p>
        </w:tc>
        <w:tc>
          <w:tcPr>
            <w:tcW w:type="dxa" w:w="3096"/>
            <w:vAlign w:val="top"/>
          </w:tcPr>
          <w:p>
            <w:pPr>
              <w:spacing w:after="0"/>
            </w:pPr>
            <w:r>
              <w:rPr>
                <w:rFonts w:ascii="Arial" w:hAnsi="Arial" w:eastAsia="Arial"/>
                <w:sz w:val="13"/>
              </w:rPr>
              <w:t>Module 1 workbook starts with welcome video but does not explicitly lock the Agora-style module cover/player launch state.</w:t>
            </w:r>
          </w:p>
        </w:tc>
        <w:tc>
          <w:tcPr>
            <w:tcW w:type="dxa" w:w="3240"/>
            <w:vAlign w:val="top"/>
          </w:tcPr>
          <w:p>
            <w:pPr>
              <w:spacing w:after="0"/>
            </w:pPr>
            <w:r>
              <w:rPr>
                <w:rFonts w:ascii="Arial" w:hAnsi="Arial" w:eastAsia="Arial"/>
                <w:sz w:val="13"/>
              </w:rPr>
              <w:t>Add module cover state before M1-S1-01 or document S1-01 as the module cover if tool limitations require it.</w:t>
            </w:r>
          </w:p>
        </w:tc>
        <w:tc>
          <w:tcPr>
            <w:tcW w:type="dxa" w:w="2880"/>
            <w:vAlign w:val="top"/>
          </w:tcPr>
          <w:p>
            <w:pPr>
              <w:spacing w:after="0"/>
            </w:pPr>
            <w:r>
              <w:rPr>
                <w:rFonts w:ascii="Arial" w:hAnsi="Arial" w:eastAsia="Arial"/>
                <w:sz w:val="13"/>
              </w:rPr>
              <w:t>Module launches into split-screen cover with title, duration, Start button, and local CSO visual.</w:t>
            </w:r>
          </w:p>
        </w:tc>
      </w:tr>
      <w:tr>
        <w:tc>
          <w:tcPr>
            <w:tcW w:type="dxa" w:w="1037"/>
            <w:vAlign w:val="top"/>
          </w:tcPr>
          <w:p>
            <w:pPr>
              <w:spacing w:after="0"/>
            </w:pPr>
            <w:r>
              <w:rPr>
                <w:rFonts w:ascii="Arial" w:hAnsi="Arial" w:eastAsia="Arial"/>
                <w:sz w:val="13"/>
              </w:rPr>
              <w:t>M1-IMP-002</w:t>
            </w:r>
          </w:p>
        </w:tc>
        <w:tc>
          <w:tcPr>
            <w:tcW w:type="dxa" w:w="792"/>
            <w:vAlign w:val="top"/>
          </w:tcPr>
          <w:p>
            <w:pPr>
              <w:spacing w:after="0"/>
            </w:pPr>
            <w:r>
              <w:rPr>
                <w:rFonts w:ascii="Arial" w:hAnsi="Arial" w:eastAsia="Arial"/>
                <w:sz w:val="13"/>
              </w:rPr>
              <w:t>High</w:t>
            </w:r>
          </w:p>
        </w:tc>
        <w:tc>
          <w:tcPr>
            <w:tcW w:type="dxa" w:w="1584"/>
            <w:vAlign w:val="top"/>
          </w:tcPr>
          <w:p>
            <w:pPr>
              <w:spacing w:after="0"/>
            </w:pPr>
            <w:r>
              <w:rPr>
                <w:rFonts w:ascii="Arial" w:hAnsi="Arial" w:eastAsia="Arial"/>
                <w:sz w:val="13"/>
              </w:rPr>
              <w:t>Player support</w:t>
            </w:r>
          </w:p>
        </w:tc>
        <w:tc>
          <w:tcPr>
            <w:tcW w:type="dxa" w:w="3096"/>
            <w:vAlign w:val="top"/>
          </w:tcPr>
          <w:p>
            <w:pPr>
              <w:spacing w:after="0"/>
            </w:pPr>
            <w:r>
              <w:rPr>
                <w:rFonts w:ascii="Arial" w:hAnsi="Arial" w:eastAsia="Arial"/>
                <w:sz w:val="13"/>
              </w:rPr>
              <w:t>Accordion explaining course mechanics does not replace the visual help overlay reviewed from Agora.</w:t>
            </w:r>
          </w:p>
        </w:tc>
        <w:tc>
          <w:tcPr>
            <w:tcW w:type="dxa" w:w="3240"/>
            <w:vAlign w:val="top"/>
          </w:tcPr>
          <w:p>
            <w:pPr>
              <w:spacing w:after="0"/>
            </w:pPr>
            <w:r>
              <w:rPr>
                <w:rFonts w:ascii="Arial" w:hAnsi="Arial" w:eastAsia="Arial"/>
                <w:sz w:val="13"/>
              </w:rPr>
              <w:t>Create reusable Help Overlay with arrows and an Accessibility modal as player-shell component.</w:t>
            </w:r>
          </w:p>
        </w:tc>
        <w:tc>
          <w:tcPr>
            <w:tcW w:type="dxa" w:w="2880"/>
            <w:vAlign w:val="top"/>
          </w:tcPr>
          <w:p>
            <w:pPr>
              <w:spacing w:after="0"/>
            </w:pPr>
            <w:r>
              <w:rPr>
                <w:rFonts w:ascii="Arial" w:hAnsi="Arial" w:eastAsia="Arial"/>
                <w:sz w:val="13"/>
              </w:rPr>
              <w:t>Help overlay available from first module and Help button.</w:t>
            </w:r>
          </w:p>
        </w:tc>
      </w:tr>
      <w:tr>
        <w:tc>
          <w:tcPr>
            <w:tcW w:type="dxa" w:w="1037"/>
            <w:vAlign w:val="top"/>
          </w:tcPr>
          <w:p>
            <w:pPr>
              <w:spacing w:after="0"/>
            </w:pPr>
            <w:r>
              <w:rPr>
                <w:rFonts w:ascii="Arial" w:hAnsi="Arial" w:eastAsia="Arial"/>
                <w:sz w:val="13"/>
              </w:rPr>
              <w:t>M1-IMP-003</w:t>
            </w:r>
          </w:p>
        </w:tc>
        <w:tc>
          <w:tcPr>
            <w:tcW w:type="dxa" w:w="792"/>
            <w:vAlign w:val="top"/>
          </w:tcPr>
          <w:p>
            <w:pPr>
              <w:spacing w:after="0"/>
            </w:pPr>
            <w:r>
              <w:rPr>
                <w:rFonts w:ascii="Arial" w:hAnsi="Arial" w:eastAsia="Arial"/>
                <w:sz w:val="13"/>
              </w:rPr>
              <w:t>High</w:t>
            </w:r>
          </w:p>
        </w:tc>
        <w:tc>
          <w:tcPr>
            <w:tcW w:type="dxa" w:w="1584"/>
            <w:vAlign w:val="top"/>
          </w:tcPr>
          <w:p>
            <w:pPr>
              <w:spacing w:after="0"/>
            </w:pPr>
            <w:r>
              <w:rPr>
                <w:rFonts w:ascii="Arial" w:hAnsi="Arial" w:eastAsia="Arial"/>
                <w:sz w:val="13"/>
              </w:rPr>
              <w:t>Platform-player transition</w:t>
            </w:r>
          </w:p>
        </w:tc>
        <w:tc>
          <w:tcPr>
            <w:tcW w:type="dxa" w:w="3096"/>
            <w:vAlign w:val="top"/>
          </w:tcPr>
          <w:p>
            <w:pPr>
              <w:spacing w:after="0"/>
            </w:pPr>
            <w:r>
              <w:rPr>
                <w:rFonts w:ascii="Arial" w:hAnsi="Arial" w:eastAsia="Arial"/>
                <w:sz w:val="13"/>
              </w:rPr>
              <w:t>Completion/next-step screen must trigger return-to-platform progress update.</w:t>
            </w:r>
          </w:p>
        </w:tc>
        <w:tc>
          <w:tcPr>
            <w:tcW w:type="dxa" w:w="3240"/>
            <w:vAlign w:val="top"/>
          </w:tcPr>
          <w:p>
            <w:pPr>
              <w:spacing w:after="0"/>
            </w:pPr>
            <w:r>
              <w:rPr>
                <w:rFonts w:ascii="Arial" w:hAnsi="Arial" w:eastAsia="Arial"/>
                <w:sz w:val="13"/>
              </w:rPr>
              <w:t>Define completion state, green checkmark, next-module CTA, and Module 2 launch state in platform state model.</w:t>
            </w:r>
          </w:p>
        </w:tc>
        <w:tc>
          <w:tcPr>
            <w:tcW w:type="dxa" w:w="2880"/>
            <w:vAlign w:val="top"/>
          </w:tcPr>
          <w:p>
            <w:pPr>
              <w:spacing w:after="0"/>
            </w:pPr>
            <w:r>
              <w:rPr>
                <w:rFonts w:ascii="Arial" w:hAnsi="Arial" w:eastAsia="Arial"/>
                <w:sz w:val="13"/>
              </w:rPr>
              <w:t>After completion, platform shows Module 1 completed and Continue to Module 2.</w:t>
            </w:r>
          </w:p>
        </w:tc>
      </w:tr>
      <w:tr>
        <w:tc>
          <w:tcPr>
            <w:tcW w:type="dxa" w:w="1037"/>
            <w:vAlign w:val="top"/>
          </w:tcPr>
          <w:p>
            <w:pPr>
              <w:spacing w:after="0"/>
            </w:pPr>
            <w:r>
              <w:rPr>
                <w:rFonts w:ascii="Arial" w:hAnsi="Arial" w:eastAsia="Arial"/>
                <w:sz w:val="13"/>
              </w:rPr>
              <w:t>M1-IMP-004</w:t>
            </w:r>
          </w:p>
        </w:tc>
        <w:tc>
          <w:tcPr>
            <w:tcW w:type="dxa" w:w="792"/>
            <w:vAlign w:val="top"/>
          </w:tcPr>
          <w:p>
            <w:pPr>
              <w:spacing w:after="0"/>
            </w:pPr>
            <w:r>
              <w:rPr>
                <w:rFonts w:ascii="Arial" w:hAnsi="Arial" w:eastAsia="Arial"/>
                <w:sz w:val="13"/>
              </w:rPr>
              <w:t>High</w:t>
            </w:r>
          </w:p>
        </w:tc>
        <w:tc>
          <w:tcPr>
            <w:tcW w:type="dxa" w:w="1584"/>
            <w:vAlign w:val="top"/>
          </w:tcPr>
          <w:p>
            <w:pPr>
              <w:spacing w:after="0"/>
            </w:pPr>
            <w:r>
              <w:rPr>
                <w:rFonts w:ascii="Arial" w:hAnsi="Arial" w:eastAsia="Arial"/>
                <w:sz w:val="13"/>
              </w:rPr>
              <w:t>Capacity alignment</w:t>
            </w:r>
          </w:p>
        </w:tc>
        <w:tc>
          <w:tcPr>
            <w:tcW w:type="dxa" w:w="3096"/>
            <w:vAlign w:val="top"/>
          </w:tcPr>
          <w:p>
            <w:pPr>
              <w:spacing w:after="0"/>
            </w:pPr>
            <w:r>
              <w:rPr>
                <w:rFonts w:ascii="Arial" w:hAnsi="Arial" w:eastAsia="Arial"/>
                <w:sz w:val="13"/>
              </w:rPr>
              <w:t>Learning objectives are practical but not yet fully mapped to capacity areas, K/S/M/E, assessment items, and portfolio outputs.</w:t>
            </w:r>
          </w:p>
        </w:tc>
        <w:tc>
          <w:tcPr>
            <w:tcW w:type="dxa" w:w="3240"/>
            <w:vAlign w:val="top"/>
          </w:tcPr>
          <w:p>
            <w:pPr>
              <w:spacing w:after="0"/>
            </w:pPr>
            <w:r>
              <w:rPr>
                <w:rFonts w:ascii="Arial" w:hAnsi="Arial" w:eastAsia="Arial"/>
                <w:sz w:val="13"/>
              </w:rPr>
              <w:t>Add objective-capacity-assessment map for Module 1.</w:t>
            </w:r>
          </w:p>
        </w:tc>
        <w:tc>
          <w:tcPr>
            <w:tcW w:type="dxa" w:w="2880"/>
            <w:vAlign w:val="top"/>
          </w:tcPr>
          <w:p>
            <w:pPr>
              <w:spacing w:after="0"/>
            </w:pPr>
            <w:r>
              <w:rPr>
                <w:rFonts w:ascii="Arial" w:hAnsi="Arial" w:eastAsia="Arial"/>
                <w:sz w:val="13"/>
              </w:rPr>
              <w:t>Every objective has capacity area, K/S route, assessment/practice link.</w:t>
            </w:r>
          </w:p>
        </w:tc>
      </w:tr>
      <w:tr>
        <w:tc>
          <w:tcPr>
            <w:tcW w:type="dxa" w:w="1037"/>
            <w:vAlign w:val="top"/>
          </w:tcPr>
          <w:p>
            <w:pPr>
              <w:spacing w:after="0"/>
            </w:pPr>
            <w:r>
              <w:rPr>
                <w:rFonts w:ascii="Arial" w:hAnsi="Arial" w:eastAsia="Arial"/>
                <w:sz w:val="13"/>
              </w:rPr>
              <w:t>M1-IMP-005</w:t>
            </w:r>
          </w:p>
        </w:tc>
        <w:tc>
          <w:tcPr>
            <w:tcW w:type="dxa" w:w="792"/>
            <w:vAlign w:val="top"/>
          </w:tcPr>
          <w:p>
            <w:pPr>
              <w:spacing w:after="0"/>
            </w:pPr>
            <w:r>
              <w:rPr>
                <w:rFonts w:ascii="Arial" w:hAnsi="Arial" w:eastAsia="Arial"/>
                <w:sz w:val="13"/>
              </w:rPr>
              <w:t>Medium</w:t>
            </w:r>
          </w:p>
        </w:tc>
        <w:tc>
          <w:tcPr>
            <w:tcW w:type="dxa" w:w="1584"/>
            <w:vAlign w:val="top"/>
          </w:tcPr>
          <w:p>
            <w:pPr>
              <w:spacing w:after="0"/>
            </w:pPr>
            <w:r>
              <w:rPr>
                <w:rFonts w:ascii="Arial" w:hAnsi="Arial" w:eastAsia="Arial"/>
                <w:sz w:val="13"/>
              </w:rPr>
              <w:t>Story/scenario</w:t>
            </w:r>
          </w:p>
        </w:tc>
        <w:tc>
          <w:tcPr>
            <w:tcW w:type="dxa" w:w="3096"/>
            <w:vAlign w:val="top"/>
          </w:tcPr>
          <w:p>
            <w:pPr>
              <w:spacing w:after="0"/>
            </w:pPr>
            <w:r>
              <w:rPr>
                <w:rFonts w:ascii="Arial" w:hAnsi="Arial" w:eastAsia="Arial"/>
                <w:sz w:val="13"/>
              </w:rPr>
              <w:t>Ayele and Lomi examples are useful but repeated fictional labels may reduce immersion.</w:t>
            </w:r>
          </w:p>
        </w:tc>
        <w:tc>
          <w:tcPr>
            <w:tcW w:type="dxa" w:w="3240"/>
            <w:vAlign w:val="top"/>
          </w:tcPr>
          <w:p>
            <w:pPr>
              <w:spacing w:after="0"/>
            </w:pPr>
            <w:r>
              <w:rPr>
                <w:rFonts w:ascii="Arial" w:hAnsi="Arial" w:eastAsia="Arial"/>
                <w:sz w:val="13"/>
              </w:rPr>
              <w:t>Use one course/module disclaimer, then title stories naturally while preserving safety reminders where necessary.</w:t>
            </w:r>
          </w:p>
        </w:tc>
        <w:tc>
          <w:tcPr>
            <w:tcW w:type="dxa" w:w="2880"/>
            <w:vAlign w:val="top"/>
          </w:tcPr>
          <w:p>
            <w:pPr>
              <w:spacing w:after="0"/>
            </w:pPr>
            <w:r>
              <w:rPr>
                <w:rFonts w:ascii="Arial" w:hAnsi="Arial" w:eastAsia="Arial"/>
                <w:sz w:val="13"/>
              </w:rPr>
              <w:t>Stories read naturally and include safe learning disclaimer.</w:t>
            </w:r>
          </w:p>
        </w:tc>
      </w:tr>
      <w:tr>
        <w:tc>
          <w:tcPr>
            <w:tcW w:type="dxa" w:w="1037"/>
            <w:vAlign w:val="top"/>
          </w:tcPr>
          <w:p>
            <w:pPr>
              <w:spacing w:after="0"/>
            </w:pPr>
            <w:r>
              <w:rPr>
                <w:rFonts w:ascii="Arial" w:hAnsi="Arial" w:eastAsia="Arial"/>
                <w:sz w:val="13"/>
              </w:rPr>
              <w:t>M1-IMP-006</w:t>
            </w:r>
          </w:p>
        </w:tc>
        <w:tc>
          <w:tcPr>
            <w:tcW w:type="dxa" w:w="792"/>
            <w:vAlign w:val="top"/>
          </w:tcPr>
          <w:p>
            <w:pPr>
              <w:spacing w:after="0"/>
            </w:pPr>
            <w:r>
              <w:rPr>
                <w:rFonts w:ascii="Arial" w:hAnsi="Arial" w:eastAsia="Arial"/>
                <w:sz w:val="13"/>
              </w:rPr>
              <w:t>Medium</w:t>
            </w:r>
          </w:p>
        </w:tc>
        <w:tc>
          <w:tcPr>
            <w:tcW w:type="dxa" w:w="1584"/>
            <w:vAlign w:val="top"/>
          </w:tcPr>
          <w:p>
            <w:pPr>
              <w:spacing w:after="0"/>
            </w:pPr>
            <w:r>
              <w:rPr>
                <w:rFonts w:ascii="Arial" w:hAnsi="Arial" w:eastAsia="Arial"/>
                <w:sz w:val="13"/>
              </w:rPr>
              <w:t>Scenario depth</w:t>
            </w:r>
          </w:p>
        </w:tc>
        <w:tc>
          <w:tcPr>
            <w:tcW w:type="dxa" w:w="3096"/>
            <w:vAlign w:val="top"/>
          </w:tcPr>
          <w:p>
            <w:pPr>
              <w:spacing w:after="0"/>
            </w:pPr>
            <w:r>
              <w:rPr>
                <w:rFonts w:ascii="Arial" w:hAnsi="Arial" w:eastAsia="Arial"/>
                <w:sz w:val="13"/>
              </w:rPr>
              <w:t>Module 1 includes scenario decision, sorting, and matching, but not a deep branching scenario.</w:t>
            </w:r>
          </w:p>
        </w:tc>
        <w:tc>
          <w:tcPr>
            <w:tcW w:type="dxa" w:w="3240"/>
            <w:vAlign w:val="top"/>
          </w:tcPr>
          <w:p>
            <w:pPr>
              <w:spacing w:after="0"/>
            </w:pPr>
            <w:r>
              <w:rPr>
                <w:rFonts w:ascii="Arial" w:hAnsi="Arial" w:eastAsia="Arial"/>
                <w:sz w:val="13"/>
              </w:rPr>
              <w:t>Keep Module 1 simple; reserve branching for later modules. Ensure scenario decision has plausible choices and consequence-based feedback.</w:t>
            </w:r>
          </w:p>
        </w:tc>
        <w:tc>
          <w:tcPr>
            <w:tcW w:type="dxa" w:w="2880"/>
            <w:vAlign w:val="top"/>
          </w:tcPr>
          <w:p>
            <w:pPr>
              <w:spacing w:after="0"/>
            </w:pPr>
            <w:r>
              <w:rPr>
                <w:rFonts w:ascii="Arial" w:hAnsi="Arial" w:eastAsia="Arial"/>
                <w:sz w:val="13"/>
              </w:rPr>
              <w:t>Scenario teaches HRBA questions without overloading foundation module.</w:t>
            </w:r>
          </w:p>
        </w:tc>
      </w:tr>
      <w:tr>
        <w:tc>
          <w:tcPr>
            <w:tcW w:type="dxa" w:w="1037"/>
            <w:vAlign w:val="top"/>
          </w:tcPr>
          <w:p>
            <w:pPr>
              <w:spacing w:after="0"/>
            </w:pPr>
            <w:r>
              <w:rPr>
                <w:rFonts w:ascii="Arial" w:hAnsi="Arial" w:eastAsia="Arial"/>
                <w:sz w:val="13"/>
              </w:rPr>
              <w:t>M1-IMP-007</w:t>
            </w:r>
          </w:p>
        </w:tc>
        <w:tc>
          <w:tcPr>
            <w:tcW w:type="dxa" w:w="792"/>
            <w:vAlign w:val="top"/>
          </w:tcPr>
          <w:p>
            <w:pPr>
              <w:spacing w:after="0"/>
            </w:pPr>
            <w:r>
              <w:rPr>
                <w:rFonts w:ascii="Arial" w:hAnsi="Arial" w:eastAsia="Arial"/>
                <w:sz w:val="13"/>
              </w:rPr>
              <w:t>Medium</w:t>
            </w:r>
          </w:p>
        </w:tc>
        <w:tc>
          <w:tcPr>
            <w:tcW w:type="dxa" w:w="1584"/>
            <w:vAlign w:val="top"/>
          </w:tcPr>
          <w:p>
            <w:pPr>
              <w:spacing w:after="0"/>
            </w:pPr>
            <w:r>
              <w:rPr>
                <w:rFonts w:ascii="Arial" w:hAnsi="Arial" w:eastAsia="Arial"/>
                <w:sz w:val="13"/>
              </w:rPr>
              <w:t>Visual assets</w:t>
            </w:r>
          </w:p>
        </w:tc>
        <w:tc>
          <w:tcPr>
            <w:tcW w:type="dxa" w:w="3096"/>
            <w:vAlign w:val="top"/>
          </w:tcPr>
          <w:p>
            <w:pPr>
              <w:spacing w:after="0"/>
            </w:pPr>
            <w:r>
              <w:rPr>
                <w:rFonts w:ascii="Arial" w:hAnsi="Arial" w:eastAsia="Arial"/>
                <w:sz w:val="13"/>
              </w:rPr>
              <w:t>Asset requirements are placeholders.</w:t>
            </w:r>
          </w:p>
        </w:tc>
        <w:tc>
          <w:tcPr>
            <w:tcW w:type="dxa" w:w="3240"/>
            <w:vAlign w:val="top"/>
          </w:tcPr>
          <w:p>
            <w:pPr>
              <w:spacing w:after="0"/>
            </w:pPr>
            <w:r>
              <w:rPr>
                <w:rFonts w:ascii="Arial" w:hAnsi="Arial" w:eastAsia="Arial"/>
                <w:sz w:val="13"/>
              </w:rPr>
              <w:t>Create approved asset prompts, final filenames, alt text, and fallback text for all recommended assets.</w:t>
            </w:r>
          </w:p>
        </w:tc>
        <w:tc>
          <w:tcPr>
            <w:tcW w:type="dxa" w:w="2880"/>
            <w:vAlign w:val="top"/>
          </w:tcPr>
          <w:p>
            <w:pPr>
              <w:spacing w:after="0"/>
            </w:pPr>
            <w:r>
              <w:rPr>
                <w:rFonts w:ascii="Arial" w:hAnsi="Arial" w:eastAsia="Arial"/>
                <w:sz w:val="13"/>
              </w:rPr>
              <w:t>Asset register has no placeholder-only rows before build.</w:t>
            </w:r>
          </w:p>
        </w:tc>
      </w:tr>
      <w:tr>
        <w:tc>
          <w:tcPr>
            <w:tcW w:type="dxa" w:w="1037"/>
            <w:vAlign w:val="top"/>
          </w:tcPr>
          <w:p>
            <w:pPr>
              <w:spacing w:after="0"/>
            </w:pPr>
            <w:r>
              <w:rPr>
                <w:rFonts w:ascii="Arial" w:hAnsi="Arial" w:eastAsia="Arial"/>
                <w:sz w:val="13"/>
              </w:rPr>
              <w:t>M1-IMP-008</w:t>
            </w:r>
          </w:p>
        </w:tc>
        <w:tc>
          <w:tcPr>
            <w:tcW w:type="dxa" w:w="792"/>
            <w:vAlign w:val="top"/>
          </w:tcPr>
          <w:p>
            <w:pPr>
              <w:spacing w:after="0"/>
            </w:pPr>
            <w:r>
              <w:rPr>
                <w:rFonts w:ascii="Arial" w:hAnsi="Arial" w:eastAsia="Arial"/>
                <w:sz w:val="13"/>
              </w:rPr>
              <w:t>Medium</w:t>
            </w:r>
          </w:p>
        </w:tc>
        <w:tc>
          <w:tcPr>
            <w:tcW w:type="dxa" w:w="1584"/>
            <w:vAlign w:val="top"/>
          </w:tcPr>
          <w:p>
            <w:pPr>
              <w:spacing w:after="0"/>
            </w:pPr>
            <w:r>
              <w:rPr>
                <w:rFonts w:ascii="Arial" w:hAnsi="Arial" w:eastAsia="Arial"/>
                <w:sz w:val="13"/>
              </w:rPr>
              <w:t>Interaction state</w:t>
            </w:r>
          </w:p>
        </w:tc>
        <w:tc>
          <w:tcPr>
            <w:tcW w:type="dxa" w:w="3096"/>
            <w:vAlign w:val="top"/>
          </w:tcPr>
          <w:p>
            <w:pPr>
              <w:spacing w:after="0"/>
            </w:pPr>
            <w:r>
              <w:rPr>
                <w:rFonts w:ascii="Arial" w:hAnsi="Arial" w:eastAsia="Arial"/>
                <w:sz w:val="13"/>
              </w:rPr>
              <w:t>Sorting/matching/self-assessment logic must be implemented deterministically.</w:t>
            </w:r>
          </w:p>
        </w:tc>
        <w:tc>
          <w:tcPr>
            <w:tcW w:type="dxa" w:w="3240"/>
            <w:vAlign w:val="top"/>
          </w:tcPr>
          <w:p>
            <w:pPr>
              <w:spacing w:after="0"/>
            </w:pPr>
            <w:r>
              <w:rPr>
                <w:rFonts w:ascii="Arial" w:hAnsi="Arial" w:eastAsia="Arial"/>
                <w:sz w:val="13"/>
              </w:rPr>
              <w:t>Create state registry for each required interaction including completion, retry, feedback, non-drag alternative.</w:t>
            </w:r>
          </w:p>
        </w:tc>
        <w:tc>
          <w:tcPr>
            <w:tcW w:type="dxa" w:w="2880"/>
            <w:vAlign w:val="top"/>
          </w:tcPr>
          <w:p>
            <w:pPr>
              <w:spacing w:after="0"/>
            </w:pPr>
            <w:r>
              <w:rPr>
                <w:rFonts w:ascii="Arial" w:hAnsi="Arial" w:eastAsia="Arial"/>
                <w:sz w:val="13"/>
              </w:rPr>
              <w:t>All required interactions can be completed by mouse, keyboard, and touch.</w:t>
            </w:r>
          </w:p>
        </w:tc>
      </w:tr>
      <w:tr>
        <w:tc>
          <w:tcPr>
            <w:tcW w:type="dxa" w:w="1037"/>
            <w:vAlign w:val="top"/>
          </w:tcPr>
          <w:p>
            <w:pPr>
              <w:spacing w:after="0"/>
            </w:pPr>
            <w:r>
              <w:rPr>
                <w:rFonts w:ascii="Arial" w:hAnsi="Arial" w:eastAsia="Arial"/>
                <w:sz w:val="13"/>
              </w:rPr>
              <w:t>M1-IMP-009</w:t>
            </w:r>
          </w:p>
        </w:tc>
        <w:tc>
          <w:tcPr>
            <w:tcW w:type="dxa" w:w="792"/>
            <w:vAlign w:val="top"/>
          </w:tcPr>
          <w:p>
            <w:pPr>
              <w:spacing w:after="0"/>
            </w:pPr>
            <w:r>
              <w:rPr>
                <w:rFonts w:ascii="Arial" w:hAnsi="Arial" w:eastAsia="Arial"/>
                <w:sz w:val="13"/>
              </w:rPr>
              <w:t>Medium</w:t>
            </w:r>
          </w:p>
        </w:tc>
        <w:tc>
          <w:tcPr>
            <w:tcW w:type="dxa" w:w="1584"/>
            <w:vAlign w:val="top"/>
          </w:tcPr>
          <w:p>
            <w:pPr>
              <w:spacing w:after="0"/>
            </w:pPr>
            <w:r>
              <w:rPr>
                <w:rFonts w:ascii="Arial" w:hAnsi="Arial" w:eastAsia="Arial"/>
                <w:sz w:val="13"/>
              </w:rPr>
              <w:t>Privacy/data</w:t>
            </w:r>
          </w:p>
        </w:tc>
        <w:tc>
          <w:tcPr>
            <w:tcW w:type="dxa" w:w="3096"/>
            <w:vAlign w:val="top"/>
          </w:tcPr>
          <w:p>
            <w:pPr>
              <w:spacing w:after="0"/>
            </w:pPr>
            <w:r>
              <w:rPr>
                <w:rFonts w:ascii="Arial" w:hAnsi="Arial" w:eastAsia="Arial"/>
                <w:sz w:val="13"/>
              </w:rPr>
              <w:t>Self-assessment and portfolio data are private by default; implementation must prevent raw notes going to AI.</w:t>
            </w:r>
          </w:p>
        </w:tc>
        <w:tc>
          <w:tcPr>
            <w:tcW w:type="dxa" w:w="3240"/>
            <w:vAlign w:val="top"/>
          </w:tcPr>
          <w:p>
            <w:pPr>
              <w:spacing w:after="0"/>
            </w:pPr>
            <w:r>
              <w:rPr>
                <w:rFonts w:ascii="Arial" w:hAnsi="Arial" w:eastAsia="Arial"/>
                <w:sz w:val="13"/>
              </w:rPr>
              <w:t>Add data-storage and AI-processing restriction to build acceptance criteria.</w:t>
            </w:r>
          </w:p>
        </w:tc>
        <w:tc>
          <w:tcPr>
            <w:tcW w:type="dxa" w:w="2880"/>
            <w:vAlign w:val="top"/>
          </w:tcPr>
          <w:p>
            <w:pPr>
              <w:spacing w:after="0"/>
            </w:pPr>
            <w:r>
              <w:rPr>
                <w:rFonts w:ascii="Arial" w:hAnsi="Arial" w:eastAsia="Arial"/>
                <w:sz w:val="13"/>
              </w:rPr>
              <w:t>No raw private notes are exported, shared, or passed to AI.</w:t>
            </w:r>
          </w:p>
        </w:tc>
      </w:tr>
      <w:tr>
        <w:tc>
          <w:tcPr>
            <w:tcW w:type="dxa" w:w="1037"/>
            <w:vAlign w:val="top"/>
          </w:tcPr>
          <w:p>
            <w:pPr>
              <w:spacing w:after="0"/>
            </w:pPr>
            <w:r>
              <w:rPr>
                <w:rFonts w:ascii="Arial" w:hAnsi="Arial" w:eastAsia="Arial"/>
                <w:sz w:val="13"/>
              </w:rPr>
              <w:t>M1-IMP-010</w:t>
            </w:r>
          </w:p>
        </w:tc>
        <w:tc>
          <w:tcPr>
            <w:tcW w:type="dxa" w:w="792"/>
            <w:vAlign w:val="top"/>
          </w:tcPr>
          <w:p>
            <w:pPr>
              <w:spacing w:after="0"/>
            </w:pPr>
            <w:r>
              <w:rPr>
                <w:rFonts w:ascii="Arial" w:hAnsi="Arial" w:eastAsia="Arial"/>
                <w:sz w:val="13"/>
              </w:rPr>
              <w:t>Medium</w:t>
            </w:r>
          </w:p>
        </w:tc>
        <w:tc>
          <w:tcPr>
            <w:tcW w:type="dxa" w:w="1584"/>
            <w:vAlign w:val="top"/>
          </w:tcPr>
          <w:p>
            <w:pPr>
              <w:spacing w:after="0"/>
            </w:pPr>
            <w:r>
              <w:rPr>
                <w:rFonts w:ascii="Arial" w:hAnsi="Arial" w:eastAsia="Arial"/>
                <w:sz w:val="13"/>
              </w:rPr>
              <w:t>Parta/authoring implementation</w:t>
            </w:r>
          </w:p>
        </w:tc>
        <w:tc>
          <w:tcPr>
            <w:tcW w:type="dxa" w:w="3096"/>
            <w:vAlign w:val="top"/>
          </w:tcPr>
          <w:p>
            <w:pPr>
              <w:spacing w:after="0"/>
            </w:pPr>
            <w:r>
              <w:rPr>
                <w:rFonts w:ascii="Arial" w:hAnsi="Arial" w:eastAsia="Arial"/>
                <w:sz w:val="13"/>
              </w:rPr>
              <w:t>The package is build-ready but needs mapping into the selected authoring environment’s block capabilities.</w:t>
            </w:r>
          </w:p>
        </w:tc>
        <w:tc>
          <w:tcPr>
            <w:tcW w:type="dxa" w:w="3240"/>
            <w:vAlign w:val="top"/>
          </w:tcPr>
          <w:p>
            <w:pPr>
              <w:spacing w:after="0"/>
            </w:pPr>
            <w:r>
              <w:rPr>
                <w:rFonts w:ascii="Arial" w:hAnsi="Arial" w:eastAsia="Arial"/>
                <w:sz w:val="13"/>
              </w:rPr>
              <w:t>Create Parta/Build Studio block mapping: native block, custom block, or external player state.</w:t>
            </w:r>
          </w:p>
        </w:tc>
        <w:tc>
          <w:tcPr>
            <w:tcW w:type="dxa" w:w="2880"/>
            <w:vAlign w:val="top"/>
          </w:tcPr>
          <w:p>
            <w:pPr>
              <w:spacing w:after="0"/>
            </w:pPr>
            <w:r>
              <w:rPr>
                <w:rFonts w:ascii="Arial" w:hAnsi="Arial" w:eastAsia="Arial"/>
                <w:sz w:val="13"/>
              </w:rPr>
              <w:t>Each screen has implementation route and fallback.</w:t>
            </w:r>
          </w:p>
        </w:tc>
      </w:tr>
    </w:tbl>
    <w:p/>
    <w:p>
      <w:pPr>
        <w:pStyle w:val="Heading1"/>
      </w:pPr>
      <w:r>
        <w:t>6. Required design repairs before prototype build</w:t>
      </w:r>
    </w:p>
    <w:p>
      <w:pPr>
        <w:pStyle w:val="Heading2"/>
      </w:pPr>
      <w:r>
        <w:t>Repair 1 — Add or explicitly define the Module 1 cover / launch state</w:t>
      </w:r>
    </w:p>
    <w:p>
      <w:r>
        <w:t>Module 1 currently begins with the welcome video in the clean workbook. To fully preserve the Agora-inspired experience, Module 1 should launch first into a split-screen cover state with title, duration, Start button, and local CSO visual. If the selected authoring platform cannot create a separate cover state, the first screen must be redesigned to behave as the cover while keeping the welcome video as the next screen.</w:t>
      </w:r>
    </w:p>
    <w:p>
      <w:pPr>
        <w:pStyle w:val="ListBullet"/>
      </w:pPr>
      <w:r>
        <w:t>Module title: Foundations of HRBA in Local CSO Work</w:t>
      </w:r>
    </w:p>
    <w:p>
      <w:pPr>
        <w:pStyle w:val="ListBullet"/>
      </w:pPr>
      <w:r>
        <w:t>Duration: confirm final estimated time</w:t>
      </w:r>
    </w:p>
    <w:p>
      <w:pPr>
        <w:pStyle w:val="ListBullet"/>
      </w:pPr>
      <w:r>
        <w:t>Start button</w:t>
      </w:r>
    </w:p>
    <w:p>
      <w:pPr>
        <w:pStyle w:val="ListBullet"/>
      </w:pPr>
      <w:r>
        <w:t>Right-side local CSO image or illustration</w:t>
      </w:r>
    </w:p>
    <w:p>
      <w:pPr>
        <w:pStyle w:val="ListBullet"/>
      </w:pPr>
      <w:r>
        <w:t>DEC/CSO Learning Hub brand treatment</w:t>
      </w:r>
    </w:p>
    <w:p>
      <w:pPr>
        <w:pStyle w:val="Heading2"/>
      </w:pPr>
      <w:r>
        <w:t>Repair 2 — Create reusable Help Overlay + Accessibility Modal</w:t>
      </w:r>
    </w:p>
    <w:p>
      <w:r>
        <w:t>The workbook explains how the course works through an accordion, but this does not replace the Agora-style player help overlay. The player shell needs a persistent Help button and a first-launch overlay explaining navigation, resources, glossary, transcript/captions, replay, and exit/return behavior.</w:t>
      </w:r>
    </w:p>
    <w:p>
      <w:pPr>
        <w:pStyle w:val="ListBullet"/>
      </w:pPr>
      <w:r>
        <w:t>Dark overlay with callouts/arrows</w:t>
      </w:r>
    </w:p>
    <w:p>
      <w:pPr>
        <w:pStyle w:val="ListBullet"/>
      </w:pPr>
      <w:r>
        <w:t>Accessible close behavior</w:t>
      </w:r>
    </w:p>
    <w:p>
      <w:pPr>
        <w:pStyle w:val="ListBullet"/>
      </w:pPr>
      <w:r>
        <w:t>Keyboard/focus handling</w:t>
      </w:r>
    </w:p>
    <w:p>
      <w:pPr>
        <w:pStyle w:val="ListBullet"/>
      </w:pPr>
      <w:r>
        <w:t>Accessibility modal with transcript, captions, screen-reader, keyboard, mobile, and low-bandwidth guidance</w:t>
      </w:r>
    </w:p>
    <w:p>
      <w:pPr>
        <w:pStyle w:val="Heading2"/>
      </w:pPr>
      <w:r>
        <w:t>Repair 3 — Define the return-to-platform completion state</w:t>
      </w:r>
    </w:p>
    <w:p>
      <w:r>
        <w:t>The learner must complete Module 1 inside the focused player, then return to the course platform where completion is visibly saved. The platform must display a green checkmark, updated progress, and a clear Continue to Module 2 CTA.</w:t>
      </w:r>
    </w:p>
    <w:p>
      <w:pPr>
        <w:pStyle w:val="ListBullet"/>
      </w:pPr>
      <w:r>
        <w:t>Module 1 completed state</w:t>
      </w:r>
    </w:p>
    <w:p>
      <w:pPr>
        <w:pStyle w:val="ListBullet"/>
      </w:pPr>
      <w:r>
        <w:t>Progress saved message</w:t>
      </w:r>
    </w:p>
    <w:p>
      <w:pPr>
        <w:pStyle w:val="ListBullet"/>
      </w:pPr>
      <w:r>
        <w:t>Green completion badge/checkmark</w:t>
      </w:r>
    </w:p>
    <w:p>
      <w:pPr>
        <w:pStyle w:val="ListBullet"/>
      </w:pPr>
      <w:r>
        <w:t>Continue to Module 2 button</w:t>
      </w:r>
    </w:p>
    <w:p>
      <w:pPr>
        <w:pStyle w:val="ListBullet"/>
      </w:pPr>
      <w:r>
        <w:t>Review Module 1 option</w:t>
      </w:r>
    </w:p>
    <w:p>
      <w:pPr>
        <w:pStyle w:val="Heading2"/>
      </w:pPr>
      <w:r>
        <w:t>Repair 4 — Add objective-to-capacity, K/S, assessment, and portfolio mapping</w:t>
      </w:r>
    </w:p>
    <w:p>
      <w:r>
        <w:t>The objectives are strong but need explicit traceability. Each objective should map to a CSO capacity area, HRBA principle, knowledge/skill route, learner action, assessment item, and portfolio/practical output.</w:t>
      </w:r>
    </w:p>
    <w:p>
      <w:pPr>
        <w:pStyle w:val="ListBullet"/>
      </w:pPr>
      <w:r>
        <w:t>Objective alignment table</w:t>
      </w:r>
    </w:p>
    <w:p>
      <w:pPr>
        <w:pStyle w:val="ListBullet"/>
      </w:pPr>
      <w:r>
        <w:t>Capacity area and CSO practice tags</w:t>
      </w:r>
    </w:p>
    <w:p>
      <w:pPr>
        <w:pStyle w:val="ListBullet"/>
      </w:pPr>
      <w:r>
        <w:t>K/S/M/E route</w:t>
      </w:r>
    </w:p>
    <w:p>
      <w:pPr>
        <w:pStyle w:val="ListBullet"/>
      </w:pPr>
      <w:r>
        <w:t>Assessment link</w:t>
      </w:r>
    </w:p>
    <w:p>
      <w:pPr>
        <w:pStyle w:val="ListBullet"/>
      </w:pPr>
      <w:r>
        <w:t>Portfolio/practical output link</w:t>
      </w:r>
    </w:p>
    <w:p>
      <w:pPr>
        <w:pStyle w:val="Heading2"/>
      </w:pPr>
      <w:r>
        <w:t>Repair 5 — Calibrate story labels and scenario treatment</w:t>
      </w:r>
    </w:p>
    <w:p>
      <w:r>
        <w:t>Ayele and Lomi examples are strong and locally grounded, but repeated fictional labels may reduce immersion. Use one course/module disclaimer and then present stories naturally. Keep Module 1 scenarios simple; reserve deeper branching for later modules.</w:t>
      </w:r>
    </w:p>
    <w:p>
      <w:pPr>
        <w:pStyle w:val="ListBullet"/>
      </w:pPr>
      <w:r>
        <w:t>Course-level disclaimer</w:t>
      </w:r>
    </w:p>
    <w:p>
      <w:pPr>
        <w:pStyle w:val="ListBullet"/>
      </w:pPr>
      <w:r>
        <w:t>Natural story titles</w:t>
      </w:r>
    </w:p>
    <w:p>
      <w:pPr>
        <w:pStyle w:val="ListBullet"/>
      </w:pPr>
      <w:r>
        <w:t>Scenario feedback with plausible choices</w:t>
      </w:r>
    </w:p>
    <w:p>
      <w:pPr>
        <w:pStyle w:val="ListBullet"/>
      </w:pPr>
      <w:r>
        <w:t>No sensitive real-world data requested</w:t>
      </w:r>
    </w:p>
    <w:p>
      <w:pPr>
        <w:pStyle w:val="Heading2"/>
      </w:pPr>
      <w:r>
        <w:t>Repair 6 — Complete visual asset prompt pack and filenames</w:t>
      </w:r>
    </w:p>
    <w:p>
      <w:r>
        <w:t>The asset register contains placeholders. Before build, final asset prompts, filenames, fallback descriptions, and alt text should be locked.</w:t>
      </w:r>
    </w:p>
    <w:p>
      <w:pPr>
        <w:pStyle w:val="ListBullet"/>
      </w:pPr>
      <w:r>
        <w:t>Asset ID</w:t>
      </w:r>
    </w:p>
    <w:p>
      <w:pPr>
        <w:pStyle w:val="ListBullet"/>
      </w:pPr>
      <w:r>
        <w:t>Final filename</w:t>
      </w:r>
    </w:p>
    <w:p>
      <w:pPr>
        <w:pStyle w:val="ListBullet"/>
      </w:pPr>
      <w:r>
        <w:t>Prompt</w:t>
      </w:r>
    </w:p>
    <w:p>
      <w:pPr>
        <w:pStyle w:val="ListBullet"/>
      </w:pPr>
      <w:r>
        <w:t>Alt text</w:t>
      </w:r>
    </w:p>
    <w:p>
      <w:pPr>
        <w:pStyle w:val="ListBullet"/>
      </w:pPr>
      <w:r>
        <w:t>Fallback text</w:t>
      </w:r>
    </w:p>
    <w:p>
      <w:pPr>
        <w:pStyle w:val="ListBullet"/>
      </w:pPr>
      <w:r>
        <w:t>Safety note</w:t>
      </w:r>
    </w:p>
    <w:p>
      <w:pPr>
        <w:pStyle w:val="ListBullet"/>
      </w:pPr>
      <w:r>
        <w:t>Placement</w:t>
      </w:r>
    </w:p>
    <w:p>
      <w:pPr>
        <w:pStyle w:val="Heading2"/>
      </w:pPr>
      <w:r>
        <w:t>Repair 7 — Create deterministic interaction state registry</w:t>
      </w:r>
    </w:p>
    <w:p>
      <w:r>
        <w:t>Sorting, matching, self-assessment, portfolio save, and quiz logic are strong but must be expressed as build states with triggers, completion, retry, feedback, non-drag alternatives, and storage rules.</w:t>
      </w:r>
    </w:p>
    <w:p>
      <w:pPr>
        <w:pStyle w:val="ListBullet"/>
      </w:pPr>
      <w:r>
        <w:t>State ID</w:t>
      </w:r>
    </w:p>
    <w:p>
      <w:pPr>
        <w:pStyle w:val="ListBullet"/>
      </w:pPr>
      <w:r>
        <w:t>Trigger</w:t>
      </w:r>
    </w:p>
    <w:p>
      <w:pPr>
        <w:pStyle w:val="ListBullet"/>
      </w:pPr>
      <w:r>
        <w:t>Learner action</w:t>
      </w:r>
    </w:p>
    <w:p>
      <w:pPr>
        <w:pStyle w:val="ListBullet"/>
      </w:pPr>
      <w:r>
        <w:t>Feedback state</w:t>
      </w:r>
    </w:p>
    <w:p>
      <w:pPr>
        <w:pStyle w:val="ListBullet"/>
      </w:pPr>
      <w:r>
        <w:t>Completion condition</w:t>
      </w:r>
    </w:p>
    <w:p>
      <w:pPr>
        <w:pStyle w:val="ListBullet"/>
      </w:pPr>
      <w:r>
        <w:t>Data saved</w:t>
      </w:r>
    </w:p>
    <w:p>
      <w:pPr>
        <w:pStyle w:val="ListBullet"/>
      </w:pPr>
      <w:r>
        <w:t>Keyboard/tap alternative</w:t>
      </w:r>
    </w:p>
    <w:p>
      <w:pPr>
        <w:pStyle w:val="Heading2"/>
      </w:pPr>
      <w:r>
        <w:t>Repair 8 — Confirm private-by-default data behavior</w:t>
      </w:r>
    </w:p>
    <w:p>
      <w:r>
        <w:t>The self-assessment and portfolio logic are safe by design, but build acceptance criteria must explicitly prohibit sending private notes, self-assessment notes, or learner reflections to AI or public outputs.</w:t>
      </w:r>
    </w:p>
    <w:p>
      <w:pPr>
        <w:pStyle w:val="ListBullet"/>
      </w:pPr>
      <w:r>
        <w:t>Private-by-default storage rule</w:t>
      </w:r>
    </w:p>
    <w:p>
      <w:pPr>
        <w:pStyle w:val="ListBullet"/>
      </w:pPr>
      <w:r>
        <w:t>No AI processing of raw private notes</w:t>
      </w:r>
    </w:p>
    <w:p>
      <w:pPr>
        <w:pStyle w:val="ListBullet"/>
      </w:pPr>
      <w:r>
        <w:t>No public visibility</w:t>
      </w:r>
    </w:p>
    <w:p>
      <w:pPr>
        <w:pStyle w:val="ListBullet"/>
      </w:pPr>
      <w:r>
        <w:t>No upload required</w:t>
      </w:r>
    </w:p>
    <w:p>
      <w:pPr>
        <w:pStyle w:val="ListBullet"/>
      </w:pPr>
      <w:r>
        <w:t>Learner can skip optional notes</w:t>
      </w:r>
    </w:p>
    <w:p>
      <w:pPr>
        <w:pStyle w:val="Heading1"/>
      </w:pPr>
      <w:r>
        <w:t>7. Revised Module 1 build sequence</w:t>
      </w:r>
    </w:p>
    <w:p>
      <w:r>
        <w:t>The existing 44 learner-facing screens/blocks should be preserved as the core Module 1 content. The repair does not require reducing or expanding the module to match the UNICEF/Agora 26-slide example. The only change is to wrap the existing content inside the locked platform/player structure and add missing shell states.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864"/>
            <w:vAlign w:val="center"/>
            <w:shd w:fill="0F172A"/>
          </w:tcPr>
          <w:p>
            <w:pPr>
              <w:spacing w:after="0"/>
            </w:pPr>
            <w:r>
              <w:rPr>
                <w:rFonts w:ascii="Arial" w:hAnsi="Arial" w:eastAsia="Arial"/>
                <w:b/>
                <w:color w:val="FFFFFF"/>
                <w:sz w:val="16"/>
              </w:rPr>
              <w:t>Sequence</w:t>
            </w:r>
          </w:p>
        </w:tc>
        <w:tc>
          <w:tcPr>
            <w:tcW w:type="dxa" w:w="2880"/>
            <w:vAlign w:val="center"/>
            <w:shd w:fill="0F172A"/>
          </w:tcPr>
          <w:p>
            <w:pPr>
              <w:spacing w:after="0"/>
            </w:pPr>
            <w:r>
              <w:rPr>
                <w:rFonts w:ascii="Arial" w:hAnsi="Arial" w:eastAsia="Arial"/>
                <w:b/>
                <w:color w:val="FFFFFF"/>
                <w:sz w:val="16"/>
              </w:rPr>
              <w:t>State / block</w:t>
            </w:r>
          </w:p>
        </w:tc>
        <w:tc>
          <w:tcPr>
            <w:tcW w:type="dxa" w:w="3456"/>
            <w:vAlign w:val="center"/>
            <w:shd w:fill="0F172A"/>
          </w:tcPr>
          <w:p>
            <w:pPr>
              <w:spacing w:after="0"/>
            </w:pPr>
            <w:r>
              <w:rPr>
                <w:rFonts w:ascii="Arial" w:hAnsi="Arial" w:eastAsia="Arial"/>
                <w:b/>
                <w:color w:val="FFFFFF"/>
                <w:sz w:val="16"/>
              </w:rPr>
              <w:t>Purpose</w:t>
            </w:r>
          </w:p>
        </w:tc>
        <w:tc>
          <w:tcPr>
            <w:tcW w:type="dxa" w:w="3456"/>
            <w:vAlign w:val="center"/>
            <w:shd w:fill="0F172A"/>
          </w:tcPr>
          <w:p>
            <w:pPr>
              <w:spacing w:after="0"/>
            </w:pPr>
            <w:r>
              <w:rPr>
                <w:rFonts w:ascii="Arial" w:hAnsi="Arial" w:eastAsia="Arial"/>
                <w:b/>
                <w:color w:val="FFFFFF"/>
                <w:sz w:val="16"/>
              </w:rPr>
              <w:t>Build note</w:t>
            </w:r>
          </w:p>
        </w:tc>
      </w:tr>
      <w:tr>
        <w:tc>
          <w:tcPr>
            <w:tcW w:type="dxa" w:w="864"/>
            <w:vAlign w:val="top"/>
          </w:tcPr>
          <w:p>
            <w:pPr>
              <w:spacing w:after="0"/>
            </w:pPr>
            <w:r>
              <w:rPr>
                <w:rFonts w:ascii="Arial" w:hAnsi="Arial" w:eastAsia="Arial"/>
                <w:sz w:val="16"/>
              </w:rPr>
              <w:t>0</w:t>
            </w:r>
          </w:p>
        </w:tc>
        <w:tc>
          <w:tcPr>
            <w:tcW w:type="dxa" w:w="2880"/>
            <w:vAlign w:val="top"/>
          </w:tcPr>
          <w:p>
            <w:pPr>
              <w:spacing w:after="0"/>
            </w:pPr>
            <w:r>
              <w:rPr>
                <w:rFonts w:ascii="Arial" w:hAnsi="Arial" w:eastAsia="Arial"/>
                <w:sz w:val="16"/>
              </w:rPr>
              <w:t>Layer 1 — Module launch page</w:t>
            </w:r>
          </w:p>
        </w:tc>
        <w:tc>
          <w:tcPr>
            <w:tcW w:type="dxa" w:w="3456"/>
            <w:vAlign w:val="top"/>
          </w:tcPr>
          <w:p>
            <w:pPr>
              <w:spacing w:after="0"/>
            </w:pPr>
            <w:r>
              <w:rPr>
                <w:rFonts w:ascii="Arial" w:hAnsi="Arial" w:eastAsia="Arial"/>
                <w:sz w:val="16"/>
              </w:rPr>
              <w:t>Prepare learner before entering focused player</w:t>
            </w:r>
          </w:p>
        </w:tc>
        <w:tc>
          <w:tcPr>
            <w:tcW w:type="dxa" w:w="3456"/>
            <w:vAlign w:val="top"/>
          </w:tcPr>
          <w:p>
            <w:pPr>
              <w:spacing w:after="0"/>
            </w:pPr>
            <w:r>
              <w:rPr>
                <w:rFonts w:ascii="Arial" w:hAnsi="Arial" w:eastAsia="Arial"/>
                <w:sz w:val="16"/>
              </w:rPr>
              <w:t>Shows module title, outcomes, estimated time, tools, Launch Module button.</w:t>
            </w:r>
          </w:p>
        </w:tc>
      </w:tr>
      <w:tr>
        <w:tc>
          <w:tcPr>
            <w:tcW w:type="dxa" w:w="864"/>
            <w:vAlign w:val="top"/>
          </w:tcPr>
          <w:p>
            <w:pPr>
              <w:spacing w:after="0"/>
            </w:pPr>
            <w:r>
              <w:rPr>
                <w:rFonts w:ascii="Arial" w:hAnsi="Arial" w:eastAsia="Arial"/>
                <w:sz w:val="16"/>
              </w:rPr>
              <w:t>1</w:t>
            </w:r>
          </w:p>
        </w:tc>
        <w:tc>
          <w:tcPr>
            <w:tcW w:type="dxa" w:w="2880"/>
            <w:vAlign w:val="top"/>
          </w:tcPr>
          <w:p>
            <w:pPr>
              <w:spacing w:after="0"/>
            </w:pPr>
            <w:r>
              <w:rPr>
                <w:rFonts w:ascii="Arial" w:hAnsi="Arial" w:eastAsia="Arial"/>
                <w:sz w:val="16"/>
              </w:rPr>
              <w:t>Launch wrapper / focused player opening</w:t>
            </w:r>
          </w:p>
        </w:tc>
        <w:tc>
          <w:tcPr>
            <w:tcW w:type="dxa" w:w="3456"/>
            <w:vAlign w:val="top"/>
          </w:tcPr>
          <w:p>
            <w:pPr>
              <w:spacing w:after="0"/>
            </w:pPr>
            <w:r>
              <w:rPr>
                <w:rFonts w:ascii="Arial" w:hAnsi="Arial" w:eastAsia="Arial"/>
                <w:sz w:val="16"/>
              </w:rPr>
              <w:t>Open player or show friendly fallback if pop-up blocked</w:t>
            </w:r>
          </w:p>
        </w:tc>
        <w:tc>
          <w:tcPr>
            <w:tcW w:type="dxa" w:w="3456"/>
            <w:vAlign w:val="top"/>
          </w:tcPr>
          <w:p>
            <w:pPr>
              <w:spacing w:after="0"/>
            </w:pPr>
            <w:r>
              <w:rPr>
                <w:rFonts w:ascii="Arial" w:hAnsi="Arial" w:eastAsia="Arial"/>
                <w:sz w:val="16"/>
              </w:rPr>
              <w:t>Preserve Agora-style separate player behavior where possible.</w:t>
            </w:r>
          </w:p>
        </w:tc>
      </w:tr>
      <w:tr>
        <w:tc>
          <w:tcPr>
            <w:tcW w:type="dxa" w:w="864"/>
            <w:vAlign w:val="top"/>
          </w:tcPr>
          <w:p>
            <w:pPr>
              <w:spacing w:after="0"/>
            </w:pPr>
            <w:r>
              <w:rPr>
                <w:rFonts w:ascii="Arial" w:hAnsi="Arial" w:eastAsia="Arial"/>
                <w:sz w:val="16"/>
              </w:rPr>
              <w:t>2</w:t>
            </w:r>
          </w:p>
        </w:tc>
        <w:tc>
          <w:tcPr>
            <w:tcW w:type="dxa" w:w="2880"/>
            <w:vAlign w:val="top"/>
          </w:tcPr>
          <w:p>
            <w:pPr>
              <w:spacing w:after="0"/>
            </w:pPr>
            <w:r>
              <w:rPr>
                <w:rFonts w:ascii="Arial" w:hAnsi="Arial" w:eastAsia="Arial"/>
                <w:sz w:val="16"/>
              </w:rPr>
              <w:t>Module cover state</w:t>
            </w:r>
          </w:p>
        </w:tc>
        <w:tc>
          <w:tcPr>
            <w:tcW w:type="dxa" w:w="3456"/>
            <w:vAlign w:val="top"/>
          </w:tcPr>
          <w:p>
            <w:pPr>
              <w:spacing w:after="0"/>
            </w:pPr>
            <w:r>
              <w:rPr>
                <w:rFonts w:ascii="Arial" w:hAnsi="Arial" w:eastAsia="Arial"/>
                <w:sz w:val="16"/>
              </w:rPr>
              <w:t>Create strong module entry</w:t>
            </w:r>
          </w:p>
        </w:tc>
        <w:tc>
          <w:tcPr>
            <w:tcW w:type="dxa" w:w="3456"/>
            <w:vAlign w:val="top"/>
          </w:tcPr>
          <w:p>
            <w:pPr>
              <w:spacing w:after="0"/>
            </w:pPr>
            <w:r>
              <w:rPr>
                <w:rFonts w:ascii="Arial" w:hAnsi="Arial" w:eastAsia="Arial"/>
                <w:sz w:val="16"/>
              </w:rPr>
              <w:t>Split-screen cover with Start button and local CSO visual.</w:t>
            </w:r>
          </w:p>
        </w:tc>
      </w:tr>
      <w:tr>
        <w:tc>
          <w:tcPr>
            <w:tcW w:type="dxa" w:w="864"/>
            <w:vAlign w:val="top"/>
          </w:tcPr>
          <w:p>
            <w:pPr>
              <w:spacing w:after="0"/>
            </w:pPr>
            <w:r>
              <w:rPr>
                <w:rFonts w:ascii="Arial" w:hAnsi="Arial" w:eastAsia="Arial"/>
                <w:sz w:val="16"/>
              </w:rPr>
              <w:t>3</w:t>
            </w:r>
          </w:p>
        </w:tc>
        <w:tc>
          <w:tcPr>
            <w:tcW w:type="dxa" w:w="2880"/>
            <w:vAlign w:val="top"/>
          </w:tcPr>
          <w:p>
            <w:pPr>
              <w:spacing w:after="0"/>
            </w:pPr>
            <w:r>
              <w:rPr>
                <w:rFonts w:ascii="Arial" w:hAnsi="Arial" w:eastAsia="Arial"/>
                <w:sz w:val="16"/>
              </w:rPr>
              <w:t>Help overlay + accessibility modal</w:t>
            </w:r>
          </w:p>
        </w:tc>
        <w:tc>
          <w:tcPr>
            <w:tcW w:type="dxa" w:w="3456"/>
            <w:vAlign w:val="top"/>
          </w:tcPr>
          <w:p>
            <w:pPr>
              <w:spacing w:after="0"/>
            </w:pPr>
            <w:r>
              <w:rPr>
                <w:rFonts w:ascii="Arial" w:hAnsi="Arial" w:eastAsia="Arial"/>
                <w:sz w:val="16"/>
              </w:rPr>
              <w:t>Explain player controls and access options</w:t>
            </w:r>
          </w:p>
        </w:tc>
        <w:tc>
          <w:tcPr>
            <w:tcW w:type="dxa" w:w="3456"/>
            <w:vAlign w:val="top"/>
          </w:tcPr>
          <w:p>
            <w:pPr>
              <w:spacing w:after="0"/>
            </w:pPr>
            <w:r>
              <w:rPr>
                <w:rFonts w:ascii="Arial" w:hAnsi="Arial" w:eastAsia="Arial"/>
                <w:sz w:val="16"/>
              </w:rPr>
              <w:t>First-launch overlay and persistent Help button.</w:t>
            </w:r>
          </w:p>
        </w:tc>
      </w:tr>
      <w:tr>
        <w:tc>
          <w:tcPr>
            <w:tcW w:type="dxa" w:w="864"/>
            <w:vAlign w:val="top"/>
          </w:tcPr>
          <w:p>
            <w:pPr>
              <w:spacing w:after="0"/>
            </w:pPr>
            <w:r>
              <w:rPr>
                <w:rFonts w:ascii="Arial" w:hAnsi="Arial" w:eastAsia="Arial"/>
                <w:sz w:val="16"/>
              </w:rPr>
              <w:t>4</w:t>
            </w:r>
          </w:p>
        </w:tc>
        <w:tc>
          <w:tcPr>
            <w:tcW w:type="dxa" w:w="2880"/>
            <w:vAlign w:val="top"/>
          </w:tcPr>
          <w:p>
            <w:pPr>
              <w:spacing w:after="0"/>
            </w:pPr>
            <w:r>
              <w:rPr>
                <w:rFonts w:ascii="Arial" w:hAnsi="Arial" w:eastAsia="Arial"/>
                <w:sz w:val="16"/>
              </w:rPr>
              <w:t>M1-S1-01 onward</w:t>
            </w:r>
          </w:p>
        </w:tc>
        <w:tc>
          <w:tcPr>
            <w:tcW w:type="dxa" w:w="3456"/>
            <w:vAlign w:val="top"/>
          </w:tcPr>
          <w:p>
            <w:pPr>
              <w:spacing w:after="0"/>
            </w:pPr>
            <w:r>
              <w:rPr>
                <w:rFonts w:ascii="Arial" w:hAnsi="Arial" w:eastAsia="Arial"/>
                <w:sz w:val="16"/>
              </w:rPr>
              <w:t>Run the approved Module 1 learning content</w:t>
            </w:r>
          </w:p>
        </w:tc>
        <w:tc>
          <w:tcPr>
            <w:tcW w:type="dxa" w:w="3456"/>
            <w:vAlign w:val="top"/>
          </w:tcPr>
          <w:p>
            <w:pPr>
              <w:spacing w:after="0"/>
            </w:pPr>
            <w:r>
              <w:rPr>
                <w:rFonts w:ascii="Arial" w:hAnsi="Arial" w:eastAsia="Arial"/>
                <w:sz w:val="16"/>
              </w:rPr>
              <w:t>Use the existing 44-screen/block storyboard as the core content sequence.</w:t>
            </w:r>
          </w:p>
        </w:tc>
      </w:tr>
      <w:tr>
        <w:tc>
          <w:tcPr>
            <w:tcW w:type="dxa" w:w="864"/>
            <w:vAlign w:val="top"/>
          </w:tcPr>
          <w:p>
            <w:pPr>
              <w:spacing w:after="0"/>
            </w:pPr>
            <w:r>
              <w:rPr>
                <w:rFonts w:ascii="Arial" w:hAnsi="Arial" w:eastAsia="Arial"/>
                <w:sz w:val="16"/>
              </w:rPr>
              <w:t>5</w:t>
            </w:r>
          </w:p>
        </w:tc>
        <w:tc>
          <w:tcPr>
            <w:tcW w:type="dxa" w:w="2880"/>
            <w:vAlign w:val="top"/>
          </w:tcPr>
          <w:p>
            <w:pPr>
              <w:spacing w:after="0"/>
            </w:pPr>
            <w:r>
              <w:rPr>
                <w:rFonts w:ascii="Arial" w:hAnsi="Arial" w:eastAsia="Arial"/>
                <w:sz w:val="16"/>
              </w:rPr>
              <w:t>Completion state inside player</w:t>
            </w:r>
          </w:p>
        </w:tc>
        <w:tc>
          <w:tcPr>
            <w:tcW w:type="dxa" w:w="3456"/>
            <w:vAlign w:val="top"/>
          </w:tcPr>
          <w:p>
            <w:pPr>
              <w:spacing w:after="0"/>
            </w:pPr>
            <w:r>
              <w:rPr>
                <w:rFonts w:ascii="Arial" w:hAnsi="Arial" w:eastAsia="Arial"/>
                <w:sz w:val="16"/>
              </w:rPr>
              <w:t>Confirm Module 1 is completed</w:t>
            </w:r>
          </w:p>
        </w:tc>
        <w:tc>
          <w:tcPr>
            <w:tcW w:type="dxa" w:w="3456"/>
            <w:vAlign w:val="top"/>
          </w:tcPr>
          <w:p>
            <w:pPr>
              <w:spacing w:after="0"/>
            </w:pPr>
            <w:r>
              <w:rPr>
                <w:rFonts w:ascii="Arial" w:hAnsi="Arial" w:eastAsia="Arial"/>
                <w:sz w:val="16"/>
              </w:rPr>
              <w:t>Use congratulations/return pattern.</w:t>
            </w:r>
          </w:p>
        </w:tc>
      </w:tr>
      <w:tr>
        <w:tc>
          <w:tcPr>
            <w:tcW w:type="dxa" w:w="864"/>
            <w:vAlign w:val="top"/>
          </w:tcPr>
          <w:p>
            <w:pPr>
              <w:spacing w:after="0"/>
            </w:pPr>
            <w:r>
              <w:rPr>
                <w:rFonts w:ascii="Arial" w:hAnsi="Arial" w:eastAsia="Arial"/>
                <w:sz w:val="16"/>
              </w:rPr>
              <w:t>6</w:t>
            </w:r>
          </w:p>
        </w:tc>
        <w:tc>
          <w:tcPr>
            <w:tcW w:type="dxa" w:w="2880"/>
            <w:vAlign w:val="top"/>
          </w:tcPr>
          <w:p>
            <w:pPr>
              <w:spacing w:after="0"/>
            </w:pPr>
            <w:r>
              <w:rPr>
                <w:rFonts w:ascii="Arial" w:hAnsi="Arial" w:eastAsia="Arial"/>
                <w:sz w:val="16"/>
              </w:rPr>
              <w:t>Return to Layer 1 platform</w:t>
            </w:r>
          </w:p>
        </w:tc>
        <w:tc>
          <w:tcPr>
            <w:tcW w:type="dxa" w:w="3456"/>
            <w:vAlign w:val="top"/>
          </w:tcPr>
          <w:p>
            <w:pPr>
              <w:spacing w:after="0"/>
            </w:pPr>
            <w:r>
              <w:rPr>
                <w:rFonts w:ascii="Arial" w:hAnsi="Arial" w:eastAsia="Arial"/>
                <w:sz w:val="16"/>
              </w:rPr>
              <w:t>Show progress saved and next module CTA</w:t>
            </w:r>
          </w:p>
        </w:tc>
        <w:tc>
          <w:tcPr>
            <w:tcW w:type="dxa" w:w="3456"/>
            <w:vAlign w:val="top"/>
          </w:tcPr>
          <w:p>
            <w:pPr>
              <w:spacing w:after="0"/>
            </w:pPr>
            <w:r>
              <w:rPr>
                <w:rFonts w:ascii="Arial" w:hAnsi="Arial" w:eastAsia="Arial"/>
                <w:sz w:val="16"/>
              </w:rPr>
              <w:t>Green checkmark, Continue to Module 2, Review Module 1.</w:t>
            </w:r>
          </w:p>
        </w:tc>
      </w:tr>
    </w:tbl>
    <w:p/>
    <w:p>
      <w:pPr>
        <w:pStyle w:val="Heading1"/>
      </w:pPr>
      <w:r>
        <w:t>8. Screen/block preservation map</w:t>
      </w:r>
    </w:p>
    <w:p>
      <w:r>
        <w:t>The table below confirms that the Module 1 storyboard should be preserved as the main learner-facing content. These screens require implementation mapping, not wholesale rewriting.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96"/>
            <w:vAlign w:val="center"/>
            <w:shd w:fill="0F172A"/>
          </w:tcPr>
          <w:p>
            <w:pPr>
              <w:spacing w:after="0"/>
            </w:pPr>
            <w:r>
              <w:rPr>
                <w:rFonts w:ascii="Arial" w:hAnsi="Arial" w:eastAsia="Arial"/>
                <w:b/>
                <w:color w:val="FFFFFF"/>
                <w:sz w:val="13"/>
              </w:rPr>
              <w:t>Screen ID</w:t>
            </w:r>
          </w:p>
        </w:tc>
        <w:tc>
          <w:tcPr>
            <w:tcW w:type="dxa" w:w="3744"/>
            <w:vAlign w:val="center"/>
            <w:shd w:fill="0F172A"/>
          </w:tcPr>
          <w:p>
            <w:pPr>
              <w:spacing w:after="0"/>
            </w:pPr>
            <w:r>
              <w:rPr>
                <w:rFonts w:ascii="Arial" w:hAnsi="Arial" w:eastAsia="Arial"/>
                <w:b/>
                <w:color w:val="FFFFFF"/>
                <w:sz w:val="13"/>
              </w:rPr>
              <w:t>Screen title</w:t>
            </w:r>
          </w:p>
        </w:tc>
        <w:tc>
          <w:tcPr>
            <w:tcW w:type="dxa" w:w="2448"/>
            <w:vAlign w:val="center"/>
            <w:shd w:fill="0F172A"/>
          </w:tcPr>
          <w:p>
            <w:pPr>
              <w:spacing w:after="0"/>
            </w:pPr>
            <w:r>
              <w:rPr>
                <w:rFonts w:ascii="Arial" w:hAnsi="Arial" w:eastAsia="Arial"/>
                <w:b/>
                <w:color w:val="FFFFFF"/>
                <w:sz w:val="13"/>
              </w:rPr>
              <w:t>Block type</w:t>
            </w:r>
          </w:p>
        </w:tc>
        <w:tc>
          <w:tcPr>
            <w:tcW w:type="dxa" w:w="3312"/>
            <w:vAlign w:val="center"/>
            <w:shd w:fill="0F172A"/>
          </w:tcPr>
          <w:p>
            <w:pPr>
              <w:spacing w:after="0"/>
            </w:pPr>
            <w:r>
              <w:rPr>
                <w:rFonts w:ascii="Arial" w:hAnsi="Arial" w:eastAsia="Arial"/>
                <w:b/>
                <w:color w:val="FFFFFF"/>
                <w:sz w:val="13"/>
              </w:rPr>
              <w:t>Repair note</w:t>
            </w:r>
          </w:p>
        </w:tc>
      </w:tr>
      <w:tr>
        <w:tc>
          <w:tcPr>
            <w:tcW w:type="dxa" w:w="1296"/>
            <w:vAlign w:val="top"/>
          </w:tcPr>
          <w:p>
            <w:pPr>
              <w:spacing w:after="0"/>
            </w:pPr>
            <w:r>
              <w:rPr>
                <w:rFonts w:ascii="Arial" w:hAnsi="Arial" w:eastAsia="Arial"/>
                <w:sz w:val="13"/>
              </w:rPr>
              <w:t>M1-S1-01</w:t>
            </w:r>
          </w:p>
        </w:tc>
        <w:tc>
          <w:tcPr>
            <w:tcW w:type="dxa" w:w="3744"/>
            <w:vAlign w:val="top"/>
          </w:tcPr>
          <w:p>
            <w:pPr>
              <w:spacing w:after="0"/>
            </w:pPr>
            <w:r>
              <w:rPr>
                <w:rFonts w:ascii="Arial" w:hAnsi="Arial" w:eastAsia="Arial"/>
                <w:sz w:val="13"/>
              </w:rPr>
              <w:t>Welcome to the HRBA Course</w:t>
            </w:r>
          </w:p>
        </w:tc>
        <w:tc>
          <w:tcPr>
            <w:tcW w:type="dxa" w:w="2448"/>
            <w:vAlign w:val="top"/>
          </w:tcPr>
          <w:p>
            <w:pPr>
              <w:spacing w:after="0"/>
            </w:pPr>
            <w:r>
              <w:rPr>
                <w:rFonts w:ascii="Arial" w:hAnsi="Arial" w:eastAsia="Arial"/>
                <w:sz w:val="13"/>
              </w:rPr>
              <w:t>Welcome video + transcript</w:t>
            </w:r>
          </w:p>
        </w:tc>
        <w:tc>
          <w:tcPr>
            <w:tcW w:type="dxa" w:w="3312"/>
            <w:vAlign w:val="top"/>
          </w:tcPr>
          <w:p>
            <w:pPr>
              <w:spacing w:after="0"/>
            </w:pPr>
            <w:r>
              <w:rPr>
                <w:rFonts w:ascii="Arial" w:hAnsi="Arial" w:eastAsia="Arial"/>
                <w:sz w:val="13"/>
              </w:rPr>
              <w:t>Move after module cover/help overlay or redesign as video screen.</w:t>
            </w:r>
          </w:p>
        </w:tc>
      </w:tr>
      <w:tr>
        <w:tc>
          <w:tcPr>
            <w:tcW w:type="dxa" w:w="1296"/>
            <w:vAlign w:val="top"/>
          </w:tcPr>
          <w:p>
            <w:pPr>
              <w:spacing w:after="0"/>
            </w:pPr>
            <w:r>
              <w:rPr>
                <w:rFonts w:ascii="Arial" w:hAnsi="Arial" w:eastAsia="Arial"/>
                <w:sz w:val="13"/>
              </w:rPr>
              <w:t>M1-S1-02</w:t>
            </w:r>
          </w:p>
        </w:tc>
        <w:tc>
          <w:tcPr>
            <w:tcW w:type="dxa" w:w="3744"/>
            <w:vAlign w:val="top"/>
          </w:tcPr>
          <w:p>
            <w:pPr>
              <w:spacing w:after="0"/>
            </w:pPr>
            <w:r>
              <w:rPr>
                <w:rFonts w:ascii="Arial" w:hAnsi="Arial" w:eastAsia="Arial"/>
                <w:sz w:val="13"/>
              </w:rPr>
              <w:t>What This Course Will Help You Do</w:t>
            </w:r>
          </w:p>
        </w:tc>
        <w:tc>
          <w:tcPr>
            <w:tcW w:type="dxa" w:w="2448"/>
            <w:vAlign w:val="top"/>
          </w:tcPr>
          <w:p>
            <w:pPr>
              <w:spacing w:after="0"/>
            </w:pPr>
            <w:r>
              <w:rPr>
                <w:rFonts w:ascii="Arial" w:hAnsi="Arial" w:eastAsia="Arial"/>
                <w:sz w:val="13"/>
              </w:rPr>
              <w:t>Statement + short cards</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M1-S1-03</w:t>
            </w:r>
          </w:p>
        </w:tc>
        <w:tc>
          <w:tcPr>
            <w:tcW w:type="dxa" w:w="3744"/>
            <w:vAlign w:val="top"/>
          </w:tcPr>
          <w:p>
            <w:pPr>
              <w:spacing w:after="0"/>
            </w:pPr>
            <w:r>
              <w:rPr>
                <w:rFonts w:ascii="Arial" w:hAnsi="Arial" w:eastAsia="Arial"/>
                <w:sz w:val="13"/>
              </w:rPr>
              <w:t>What You Will Be Able to Do in Module 1</w:t>
            </w:r>
          </w:p>
        </w:tc>
        <w:tc>
          <w:tcPr>
            <w:tcW w:type="dxa" w:w="2448"/>
            <w:vAlign w:val="top"/>
          </w:tcPr>
          <w:p>
            <w:pPr>
              <w:spacing w:after="0"/>
            </w:pPr>
            <w:r>
              <w:rPr>
                <w:rFonts w:ascii="Arial" w:hAnsi="Arial" w:eastAsia="Arial"/>
                <w:sz w:val="13"/>
              </w:rPr>
              <w:t>Checklist / objective card</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M1-S1-04</w:t>
            </w:r>
          </w:p>
        </w:tc>
        <w:tc>
          <w:tcPr>
            <w:tcW w:type="dxa" w:w="3744"/>
            <w:vAlign w:val="top"/>
          </w:tcPr>
          <w:p>
            <w:pPr>
              <w:spacing w:after="0"/>
            </w:pPr>
            <w:r>
              <w:rPr>
                <w:rFonts w:ascii="Arial" w:hAnsi="Arial" w:eastAsia="Arial"/>
                <w:sz w:val="13"/>
              </w:rPr>
              <w:t>Your HRBA Learning Journey</w:t>
            </w:r>
          </w:p>
        </w:tc>
        <w:tc>
          <w:tcPr>
            <w:tcW w:type="dxa" w:w="2448"/>
            <w:vAlign w:val="top"/>
          </w:tcPr>
          <w:p>
            <w:pPr>
              <w:spacing w:after="0"/>
            </w:pPr>
            <w:r>
              <w:rPr>
                <w:rFonts w:ascii="Arial" w:hAnsi="Arial" w:eastAsia="Arial"/>
                <w:sz w:val="13"/>
              </w:rPr>
              <w:t>Roadmap / timeline</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M1-S1-05</w:t>
            </w:r>
          </w:p>
        </w:tc>
        <w:tc>
          <w:tcPr>
            <w:tcW w:type="dxa" w:w="3744"/>
            <w:vAlign w:val="top"/>
          </w:tcPr>
          <w:p>
            <w:pPr>
              <w:spacing w:after="0"/>
            </w:pPr>
            <w:r>
              <w:rPr>
                <w:rFonts w:ascii="Arial" w:hAnsi="Arial" w:eastAsia="Arial"/>
                <w:sz w:val="13"/>
              </w:rPr>
              <w:t>How This Course Works</w:t>
            </w:r>
          </w:p>
        </w:tc>
        <w:tc>
          <w:tcPr>
            <w:tcW w:type="dxa" w:w="2448"/>
            <w:vAlign w:val="top"/>
          </w:tcPr>
          <w:p>
            <w:pPr>
              <w:spacing w:after="0"/>
            </w:pPr>
            <w:r>
              <w:rPr>
                <w:rFonts w:ascii="Arial" w:hAnsi="Arial" w:eastAsia="Arial"/>
                <w:sz w:val="13"/>
              </w:rPr>
              <w:t>Accordion or tabs</w:t>
            </w:r>
          </w:p>
        </w:tc>
        <w:tc>
          <w:tcPr>
            <w:tcW w:type="dxa" w:w="3312"/>
            <w:vAlign w:val="top"/>
          </w:tcPr>
          <w:p>
            <w:pPr>
              <w:spacing w:after="0"/>
            </w:pPr>
            <w:r>
              <w:rPr>
                <w:rFonts w:ascii="Arial" w:hAnsi="Arial" w:eastAsia="Arial"/>
                <w:sz w:val="13"/>
              </w:rPr>
              <w:t>Keep accordion, but do not treat it as replacement for Help Overlay.</w:t>
            </w:r>
          </w:p>
        </w:tc>
      </w:tr>
      <w:tr>
        <w:tc>
          <w:tcPr>
            <w:tcW w:type="dxa" w:w="1296"/>
            <w:vAlign w:val="top"/>
          </w:tcPr>
          <w:p>
            <w:pPr>
              <w:spacing w:after="0"/>
            </w:pPr>
            <w:r>
              <w:rPr>
                <w:rFonts w:ascii="Arial" w:hAnsi="Arial" w:eastAsia="Arial"/>
                <w:sz w:val="13"/>
              </w:rPr>
              <w:t>M1-S1-06</w:t>
            </w:r>
          </w:p>
        </w:tc>
        <w:tc>
          <w:tcPr>
            <w:tcW w:type="dxa" w:w="3744"/>
            <w:vAlign w:val="top"/>
          </w:tcPr>
          <w:p>
            <w:pPr>
              <w:spacing w:after="0"/>
            </w:pPr>
            <w:r>
              <w:rPr>
                <w:rFonts w:ascii="Arial" w:hAnsi="Arial" w:eastAsia="Arial"/>
                <w:sz w:val="13"/>
              </w:rPr>
              <w:t>Certificate, Reflections, and Practical Tools</w:t>
            </w:r>
          </w:p>
        </w:tc>
        <w:tc>
          <w:tcPr>
            <w:tcW w:type="dxa" w:w="2448"/>
            <w:vAlign w:val="top"/>
          </w:tcPr>
          <w:p>
            <w:pPr>
              <w:spacing w:after="0"/>
            </w:pPr>
            <w:r>
              <w:rPr>
                <w:rFonts w:ascii="Arial" w:hAnsi="Arial" w:eastAsia="Arial"/>
                <w:sz w:val="13"/>
              </w:rPr>
              <w:t>Note / callout</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M1-S1-06A</w:t>
            </w:r>
          </w:p>
        </w:tc>
        <w:tc>
          <w:tcPr>
            <w:tcW w:type="dxa" w:w="3744"/>
            <w:vAlign w:val="top"/>
          </w:tcPr>
          <w:p>
            <w:pPr>
              <w:spacing w:after="0"/>
            </w:pPr>
            <w:r>
              <w:rPr>
                <w:rFonts w:ascii="Arial" w:hAnsi="Arial" w:eastAsia="Arial"/>
                <w:sz w:val="13"/>
              </w:rPr>
              <w:t>Build Your HRBA Learning Portfolio</w:t>
            </w:r>
          </w:p>
        </w:tc>
        <w:tc>
          <w:tcPr>
            <w:tcW w:type="dxa" w:w="2448"/>
            <w:vAlign w:val="top"/>
          </w:tcPr>
          <w:p>
            <w:pPr>
              <w:spacing w:after="0"/>
            </w:pPr>
            <w:r>
              <w:rPr>
                <w:rFonts w:ascii="Arial" w:hAnsi="Arial" w:eastAsia="Arial"/>
                <w:sz w:val="13"/>
              </w:rPr>
              <w:t>Portfolio value card</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M1-S1-06B</w:t>
            </w:r>
          </w:p>
        </w:tc>
        <w:tc>
          <w:tcPr>
            <w:tcW w:type="dxa" w:w="3744"/>
            <w:vAlign w:val="top"/>
          </w:tcPr>
          <w:p>
            <w:pPr>
              <w:spacing w:after="0"/>
            </w:pPr>
            <w:r>
              <w:rPr>
                <w:rFonts w:ascii="Arial" w:hAnsi="Arial" w:eastAsia="Arial"/>
                <w:sz w:val="13"/>
              </w:rPr>
              <w:t>Meet Ayele: How the Portfolio Helps</w:t>
            </w:r>
          </w:p>
        </w:tc>
        <w:tc>
          <w:tcPr>
            <w:tcW w:type="dxa" w:w="2448"/>
            <w:vAlign w:val="top"/>
          </w:tcPr>
          <w:p>
            <w:pPr>
              <w:spacing w:after="0"/>
            </w:pPr>
            <w:r>
              <w:rPr>
                <w:rFonts w:ascii="Arial" w:hAnsi="Arial" w:eastAsia="Arial"/>
                <w:sz w:val="13"/>
              </w:rPr>
              <w:t>Demo story card</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M1-S1-07</w:t>
            </w:r>
          </w:p>
        </w:tc>
        <w:tc>
          <w:tcPr>
            <w:tcW w:type="dxa" w:w="3744"/>
            <w:vAlign w:val="top"/>
          </w:tcPr>
          <w:p>
            <w:pPr>
              <w:spacing w:after="0"/>
            </w:pPr>
            <w:r>
              <w:rPr>
                <w:rFonts w:ascii="Arial" w:hAnsi="Arial" w:eastAsia="Arial"/>
                <w:sz w:val="13"/>
              </w:rPr>
              <w:t>Safe Learning Agreement</w:t>
            </w:r>
          </w:p>
        </w:tc>
        <w:tc>
          <w:tcPr>
            <w:tcW w:type="dxa" w:w="2448"/>
            <w:vAlign w:val="top"/>
          </w:tcPr>
          <w:p>
            <w:pPr>
              <w:spacing w:after="0"/>
            </w:pPr>
            <w:r>
              <w:rPr>
                <w:rFonts w:ascii="Arial" w:hAnsi="Arial" w:eastAsia="Arial"/>
                <w:sz w:val="13"/>
              </w:rPr>
              <w:t>Checklist gate</w:t>
            </w:r>
          </w:p>
        </w:tc>
        <w:tc>
          <w:tcPr>
            <w:tcW w:type="dxa" w:w="3312"/>
            <w:vAlign w:val="top"/>
          </w:tcPr>
          <w:p>
            <w:pPr>
              <w:spacing w:after="0"/>
            </w:pPr>
            <w:r>
              <w:rPr>
                <w:rFonts w:ascii="Arial" w:hAnsi="Arial" w:eastAsia="Arial"/>
                <w:sz w:val="13"/>
              </w:rPr>
              <w:t>Keep as required safety gate.</w:t>
            </w:r>
          </w:p>
        </w:tc>
      </w:tr>
      <w:tr>
        <w:tc>
          <w:tcPr>
            <w:tcW w:type="dxa" w:w="1296"/>
            <w:vAlign w:val="top"/>
          </w:tcPr>
          <w:p>
            <w:pPr>
              <w:spacing w:after="0"/>
            </w:pPr>
            <w:r>
              <w:rPr>
                <w:rFonts w:ascii="Arial" w:hAnsi="Arial" w:eastAsia="Arial"/>
                <w:sz w:val="13"/>
              </w:rPr>
              <w:t>M1-S1-08</w:t>
            </w:r>
          </w:p>
        </w:tc>
        <w:tc>
          <w:tcPr>
            <w:tcW w:type="dxa" w:w="3744"/>
            <w:vAlign w:val="top"/>
          </w:tcPr>
          <w:p>
            <w:pPr>
              <w:spacing w:after="0"/>
            </w:pPr>
            <w:r>
              <w:rPr>
                <w:rFonts w:ascii="Arial" w:hAnsi="Arial" w:eastAsia="Arial"/>
                <w:sz w:val="13"/>
              </w:rPr>
              <w:t>Orientation Readiness Check</w:t>
            </w:r>
          </w:p>
        </w:tc>
        <w:tc>
          <w:tcPr>
            <w:tcW w:type="dxa" w:w="2448"/>
            <w:vAlign w:val="top"/>
          </w:tcPr>
          <w:p>
            <w:pPr>
              <w:spacing w:after="0"/>
            </w:pPr>
            <w:r>
              <w:rPr>
                <w:rFonts w:ascii="Arial" w:hAnsi="Arial" w:eastAsia="Arial"/>
                <w:sz w:val="13"/>
              </w:rPr>
              <w:t>2-question check</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M1-S2-01</w:t>
            </w:r>
          </w:p>
        </w:tc>
        <w:tc>
          <w:tcPr>
            <w:tcW w:type="dxa" w:w="3744"/>
            <w:vAlign w:val="top"/>
          </w:tcPr>
          <w:p>
            <w:pPr>
              <w:spacing w:after="0"/>
            </w:pPr>
            <w:r>
              <w:rPr>
                <w:rFonts w:ascii="Arial" w:hAnsi="Arial" w:eastAsia="Arial"/>
                <w:sz w:val="13"/>
              </w:rPr>
              <w:t>Good Intentions Are Not Always Enough</w:t>
            </w:r>
          </w:p>
        </w:tc>
        <w:tc>
          <w:tcPr>
            <w:tcW w:type="dxa" w:w="2448"/>
            <w:vAlign w:val="top"/>
          </w:tcPr>
          <w:p>
            <w:pPr>
              <w:spacing w:after="0"/>
            </w:pPr>
            <w:r>
              <w:rPr>
                <w:rFonts w:ascii="Arial" w:hAnsi="Arial" w:eastAsia="Arial"/>
                <w:sz w:val="13"/>
              </w:rPr>
              <w:t>Scenario hook</w:t>
            </w:r>
          </w:p>
        </w:tc>
        <w:tc>
          <w:tcPr>
            <w:tcW w:type="dxa" w:w="3312"/>
            <w:vAlign w:val="top"/>
          </w:tcPr>
          <w:p>
            <w:pPr>
              <w:spacing w:after="0"/>
            </w:pPr>
            <w:r>
              <w:rPr>
                <w:rFonts w:ascii="Arial" w:hAnsi="Arial" w:eastAsia="Arial"/>
                <w:sz w:val="13"/>
              </w:rPr>
              <w:t>Preserve; calibrate story disclaimer and feedback.</w:t>
            </w:r>
          </w:p>
        </w:tc>
      </w:tr>
      <w:tr>
        <w:tc>
          <w:tcPr>
            <w:tcW w:type="dxa" w:w="1296"/>
            <w:vAlign w:val="top"/>
          </w:tcPr>
          <w:p>
            <w:pPr>
              <w:spacing w:after="0"/>
            </w:pPr>
            <w:r>
              <w:rPr>
                <w:rFonts w:ascii="Arial" w:hAnsi="Arial" w:eastAsia="Arial"/>
                <w:sz w:val="13"/>
              </w:rPr>
              <w:t>M1-S2-02</w:t>
            </w:r>
          </w:p>
        </w:tc>
        <w:tc>
          <w:tcPr>
            <w:tcW w:type="dxa" w:w="3744"/>
            <w:vAlign w:val="top"/>
          </w:tcPr>
          <w:p>
            <w:pPr>
              <w:spacing w:after="0"/>
            </w:pPr>
            <w:r>
              <w:rPr>
                <w:rFonts w:ascii="Arial" w:hAnsi="Arial" w:eastAsia="Arial"/>
                <w:sz w:val="13"/>
              </w:rPr>
              <w:t>HRBA in Plain Language</w:t>
            </w:r>
          </w:p>
        </w:tc>
        <w:tc>
          <w:tcPr>
            <w:tcW w:type="dxa" w:w="2448"/>
            <w:vAlign w:val="top"/>
          </w:tcPr>
          <w:p>
            <w:pPr>
              <w:spacing w:after="0"/>
            </w:pPr>
            <w:r>
              <w:rPr>
                <w:rFonts w:ascii="Arial" w:hAnsi="Arial" w:eastAsia="Arial"/>
                <w:sz w:val="13"/>
              </w:rPr>
              <w:t>Explainer + statement</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M1-S2-03</w:t>
            </w:r>
          </w:p>
        </w:tc>
        <w:tc>
          <w:tcPr>
            <w:tcW w:type="dxa" w:w="3744"/>
            <w:vAlign w:val="top"/>
          </w:tcPr>
          <w:p>
            <w:pPr>
              <w:spacing w:after="0"/>
            </w:pPr>
            <w:r>
              <w:rPr>
                <w:rFonts w:ascii="Arial" w:hAnsi="Arial" w:eastAsia="Arial"/>
                <w:sz w:val="13"/>
              </w:rPr>
              <w:t>Why HRBA Matters in Everyday CSO Work</w:t>
            </w:r>
          </w:p>
        </w:tc>
        <w:tc>
          <w:tcPr>
            <w:tcW w:type="dxa" w:w="2448"/>
            <w:vAlign w:val="top"/>
          </w:tcPr>
          <w:p>
            <w:pPr>
              <w:spacing w:after="0"/>
            </w:pPr>
            <w:r>
              <w:rPr>
                <w:rFonts w:ascii="Arial" w:hAnsi="Arial" w:eastAsia="Arial"/>
                <w:sz w:val="13"/>
              </w:rPr>
              <w:t>Icon cards</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M1-S2-04</w:t>
            </w:r>
          </w:p>
        </w:tc>
        <w:tc>
          <w:tcPr>
            <w:tcW w:type="dxa" w:w="3744"/>
            <w:vAlign w:val="top"/>
          </w:tcPr>
          <w:p>
            <w:pPr>
              <w:spacing w:after="0"/>
            </w:pPr>
            <w:r>
              <w:rPr>
                <w:rFonts w:ascii="Arial" w:hAnsi="Arial" w:eastAsia="Arial"/>
                <w:sz w:val="13"/>
              </w:rPr>
              <w:t>Activity-Focused vs Rights-Aware Practice</w:t>
            </w:r>
          </w:p>
        </w:tc>
        <w:tc>
          <w:tcPr>
            <w:tcW w:type="dxa" w:w="2448"/>
            <w:vAlign w:val="top"/>
          </w:tcPr>
          <w:p>
            <w:pPr>
              <w:spacing w:after="0"/>
            </w:pPr>
            <w:r>
              <w:rPr>
                <w:rFonts w:ascii="Arial" w:hAnsi="Arial" w:eastAsia="Arial"/>
                <w:sz w:val="13"/>
              </w:rPr>
              <w:t>Comparison card</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M1-S2-05</w:t>
            </w:r>
          </w:p>
        </w:tc>
        <w:tc>
          <w:tcPr>
            <w:tcW w:type="dxa" w:w="3744"/>
            <w:vAlign w:val="top"/>
          </w:tcPr>
          <w:p>
            <w:pPr>
              <w:spacing w:after="0"/>
            </w:pPr>
            <w:r>
              <w:rPr>
                <w:rFonts w:ascii="Arial" w:hAnsi="Arial" w:eastAsia="Arial"/>
                <w:sz w:val="13"/>
              </w:rPr>
              <w:t>Set Up My HRBA Learning Portfolio</w:t>
            </w:r>
          </w:p>
        </w:tc>
        <w:tc>
          <w:tcPr>
            <w:tcW w:type="dxa" w:w="2448"/>
            <w:vAlign w:val="top"/>
          </w:tcPr>
          <w:p>
            <w:pPr>
              <w:spacing w:after="0"/>
            </w:pPr>
            <w:r>
              <w:rPr>
                <w:rFonts w:ascii="Arial" w:hAnsi="Arial" w:eastAsia="Arial"/>
                <w:sz w:val="13"/>
              </w:rPr>
              <w:t>Structured reflection</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M1-S3-01</w:t>
            </w:r>
          </w:p>
        </w:tc>
        <w:tc>
          <w:tcPr>
            <w:tcW w:type="dxa" w:w="3744"/>
            <w:vAlign w:val="top"/>
          </w:tcPr>
          <w:p>
            <w:pPr>
              <w:spacing w:after="0"/>
            </w:pPr>
            <w:r>
              <w:rPr>
                <w:rFonts w:ascii="Arial" w:hAnsi="Arial" w:eastAsia="Arial"/>
                <w:sz w:val="13"/>
              </w:rPr>
              <w:t>From Beneficiaries to Rights-Holders</w:t>
            </w:r>
          </w:p>
        </w:tc>
        <w:tc>
          <w:tcPr>
            <w:tcW w:type="dxa" w:w="2448"/>
            <w:vAlign w:val="top"/>
          </w:tcPr>
          <w:p>
            <w:pPr>
              <w:spacing w:after="0"/>
            </w:pPr>
            <w:r>
              <w:rPr>
                <w:rFonts w:ascii="Arial" w:hAnsi="Arial" w:eastAsia="Arial"/>
                <w:sz w:val="13"/>
              </w:rPr>
              <w:t>Comparison block</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M1-S3-02</w:t>
            </w:r>
          </w:p>
        </w:tc>
        <w:tc>
          <w:tcPr>
            <w:tcW w:type="dxa" w:w="3744"/>
            <w:vAlign w:val="top"/>
          </w:tcPr>
          <w:p>
            <w:pPr>
              <w:spacing w:after="0"/>
            </w:pPr>
            <w:r>
              <w:rPr>
                <w:rFonts w:ascii="Arial" w:hAnsi="Arial" w:eastAsia="Arial"/>
                <w:sz w:val="13"/>
              </w:rPr>
              <w:t>From Service Delivery Alone to Empowerment and Accountability</w:t>
            </w:r>
          </w:p>
        </w:tc>
        <w:tc>
          <w:tcPr>
            <w:tcW w:type="dxa" w:w="2448"/>
            <w:vAlign w:val="top"/>
          </w:tcPr>
          <w:p>
            <w:pPr>
              <w:spacing w:after="0"/>
            </w:pPr>
            <w:r>
              <w:rPr>
                <w:rFonts w:ascii="Arial" w:hAnsi="Arial" w:eastAsia="Arial"/>
                <w:sz w:val="13"/>
              </w:rPr>
              <w:t>Explainer + statement</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M1-S3-03</w:t>
            </w:r>
          </w:p>
        </w:tc>
        <w:tc>
          <w:tcPr>
            <w:tcW w:type="dxa" w:w="3744"/>
            <w:vAlign w:val="top"/>
          </w:tcPr>
          <w:p>
            <w:pPr>
              <w:spacing w:after="0"/>
            </w:pPr>
            <w:r>
              <w:rPr>
                <w:rFonts w:ascii="Arial" w:hAnsi="Arial" w:eastAsia="Arial"/>
                <w:sz w:val="13"/>
              </w:rPr>
              <w:t>Ask Better Questions Before Acting</w:t>
            </w:r>
          </w:p>
        </w:tc>
        <w:tc>
          <w:tcPr>
            <w:tcW w:type="dxa" w:w="2448"/>
            <w:vAlign w:val="top"/>
          </w:tcPr>
          <w:p>
            <w:pPr>
              <w:spacing w:after="0"/>
            </w:pPr>
            <w:r>
              <w:rPr>
                <w:rFonts w:ascii="Arial" w:hAnsi="Arial" w:eastAsia="Arial"/>
                <w:sz w:val="13"/>
              </w:rPr>
              <w:t>Scenario decision</w:t>
            </w:r>
          </w:p>
        </w:tc>
        <w:tc>
          <w:tcPr>
            <w:tcW w:type="dxa" w:w="3312"/>
            <w:vAlign w:val="top"/>
          </w:tcPr>
          <w:p>
            <w:pPr>
              <w:spacing w:after="0"/>
            </w:pPr>
            <w:r>
              <w:rPr>
                <w:rFonts w:ascii="Arial" w:hAnsi="Arial" w:eastAsia="Arial"/>
                <w:sz w:val="13"/>
              </w:rPr>
              <w:t>Preserve; calibrate story disclaimer and feedback.</w:t>
            </w:r>
          </w:p>
        </w:tc>
      </w:tr>
      <w:tr>
        <w:tc>
          <w:tcPr>
            <w:tcW w:type="dxa" w:w="1296"/>
            <w:vAlign w:val="top"/>
          </w:tcPr>
          <w:p>
            <w:pPr>
              <w:spacing w:after="0"/>
            </w:pPr>
            <w:r>
              <w:rPr>
                <w:rFonts w:ascii="Arial" w:hAnsi="Arial" w:eastAsia="Arial"/>
                <w:sz w:val="13"/>
              </w:rPr>
              <w:t>M1-S3-04</w:t>
            </w:r>
          </w:p>
        </w:tc>
        <w:tc>
          <w:tcPr>
            <w:tcW w:type="dxa" w:w="3744"/>
            <w:vAlign w:val="top"/>
          </w:tcPr>
          <w:p>
            <w:pPr>
              <w:spacing w:after="0"/>
            </w:pPr>
            <w:r>
              <w:rPr>
                <w:rFonts w:ascii="Arial" w:hAnsi="Arial" w:eastAsia="Arial"/>
                <w:sz w:val="13"/>
              </w:rPr>
              <w:t>What Changes When We Ask Rights-Based Questions?</w:t>
            </w:r>
          </w:p>
        </w:tc>
        <w:tc>
          <w:tcPr>
            <w:tcW w:type="dxa" w:w="2448"/>
            <w:vAlign w:val="top"/>
          </w:tcPr>
          <w:p>
            <w:pPr>
              <w:spacing w:after="0"/>
            </w:pPr>
            <w:r>
              <w:rPr>
                <w:rFonts w:ascii="Arial" w:hAnsi="Arial" w:eastAsia="Arial"/>
                <w:sz w:val="13"/>
              </w:rPr>
              <w:t>Reveal block</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M1-S3-05</w:t>
            </w:r>
          </w:p>
        </w:tc>
        <w:tc>
          <w:tcPr>
            <w:tcW w:type="dxa" w:w="3744"/>
            <w:vAlign w:val="top"/>
          </w:tcPr>
          <w:p>
            <w:pPr>
              <w:spacing w:after="0"/>
            </w:pPr>
            <w:r>
              <w:rPr>
                <w:rFonts w:ascii="Arial" w:hAnsi="Arial" w:eastAsia="Arial"/>
                <w:sz w:val="13"/>
              </w:rPr>
              <w:t>Key Takeaway</w:t>
            </w:r>
          </w:p>
        </w:tc>
        <w:tc>
          <w:tcPr>
            <w:tcW w:type="dxa" w:w="2448"/>
            <w:vAlign w:val="top"/>
          </w:tcPr>
          <w:p>
            <w:pPr>
              <w:spacing w:after="0"/>
            </w:pPr>
            <w:r>
              <w:rPr>
                <w:rFonts w:ascii="Arial" w:hAnsi="Arial" w:eastAsia="Arial"/>
                <w:sz w:val="13"/>
              </w:rPr>
              <w:t>Statement block</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M1-S4-01</w:t>
            </w:r>
          </w:p>
        </w:tc>
        <w:tc>
          <w:tcPr>
            <w:tcW w:type="dxa" w:w="3744"/>
            <w:vAlign w:val="top"/>
          </w:tcPr>
          <w:p>
            <w:pPr>
              <w:spacing w:after="0"/>
            </w:pPr>
            <w:r>
              <w:rPr>
                <w:rFonts w:ascii="Arial" w:hAnsi="Arial" w:eastAsia="Arial"/>
                <w:sz w:val="13"/>
              </w:rPr>
              <w:t>Four Ways CSOs May Frame Their Work</w:t>
            </w:r>
          </w:p>
        </w:tc>
        <w:tc>
          <w:tcPr>
            <w:tcW w:type="dxa" w:w="2448"/>
            <w:vAlign w:val="top"/>
          </w:tcPr>
          <w:p>
            <w:pPr>
              <w:spacing w:after="0"/>
            </w:pPr>
            <w:r>
              <w:rPr>
                <w:rFonts w:ascii="Arial" w:hAnsi="Arial" w:eastAsia="Arial"/>
                <w:sz w:val="13"/>
              </w:rPr>
              <w:t>Four-column comparison</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M1-S4-02</w:t>
            </w:r>
          </w:p>
        </w:tc>
        <w:tc>
          <w:tcPr>
            <w:tcW w:type="dxa" w:w="3744"/>
            <w:vAlign w:val="top"/>
          </w:tcPr>
          <w:p>
            <w:pPr>
              <w:spacing w:after="0"/>
            </w:pPr>
            <w:r>
              <w:rPr>
                <w:rFonts w:ascii="Arial" w:hAnsi="Arial" w:eastAsia="Arial"/>
                <w:sz w:val="13"/>
              </w:rPr>
              <w:t>Sort the Examples</w:t>
            </w:r>
          </w:p>
        </w:tc>
        <w:tc>
          <w:tcPr>
            <w:tcW w:type="dxa" w:w="2448"/>
            <w:vAlign w:val="top"/>
          </w:tcPr>
          <w:p>
            <w:pPr>
              <w:spacing w:after="0"/>
            </w:pPr>
            <w:r>
              <w:rPr>
                <w:rFonts w:ascii="Arial" w:hAnsi="Arial" w:eastAsia="Arial"/>
                <w:sz w:val="13"/>
              </w:rPr>
              <w:t>Sorting activity</w:t>
            </w:r>
          </w:p>
        </w:tc>
        <w:tc>
          <w:tcPr>
            <w:tcW w:type="dxa" w:w="3312"/>
            <w:vAlign w:val="top"/>
          </w:tcPr>
          <w:p>
            <w:pPr>
              <w:spacing w:after="0"/>
            </w:pPr>
            <w:r>
              <w:rPr>
                <w:rFonts w:ascii="Arial" w:hAnsi="Arial" w:eastAsia="Arial"/>
                <w:sz w:val="13"/>
              </w:rPr>
              <w:t>Preserve; map to player block and verify accessibility.</w:t>
            </w:r>
          </w:p>
        </w:tc>
      </w:tr>
    </w:tbl>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96"/>
            <w:vAlign w:val="center"/>
            <w:shd w:fill="0F172A"/>
          </w:tcPr>
          <w:p>
            <w:pPr>
              <w:spacing w:after="0"/>
            </w:pPr>
            <w:r>
              <w:rPr>
                <w:rFonts w:ascii="Arial" w:hAnsi="Arial" w:eastAsia="Arial"/>
                <w:b/>
                <w:color w:val="FFFFFF"/>
                <w:sz w:val="13"/>
              </w:rPr>
              <w:t>Screen ID</w:t>
            </w:r>
          </w:p>
        </w:tc>
        <w:tc>
          <w:tcPr>
            <w:tcW w:type="dxa" w:w="3744"/>
            <w:vAlign w:val="center"/>
            <w:shd w:fill="0F172A"/>
          </w:tcPr>
          <w:p>
            <w:pPr>
              <w:spacing w:after="0"/>
            </w:pPr>
            <w:r>
              <w:rPr>
                <w:rFonts w:ascii="Arial" w:hAnsi="Arial" w:eastAsia="Arial"/>
                <w:b/>
                <w:color w:val="FFFFFF"/>
                <w:sz w:val="13"/>
              </w:rPr>
              <w:t>Screen title</w:t>
            </w:r>
          </w:p>
        </w:tc>
        <w:tc>
          <w:tcPr>
            <w:tcW w:type="dxa" w:w="2448"/>
            <w:vAlign w:val="center"/>
            <w:shd w:fill="0F172A"/>
          </w:tcPr>
          <w:p>
            <w:pPr>
              <w:spacing w:after="0"/>
            </w:pPr>
            <w:r>
              <w:rPr>
                <w:rFonts w:ascii="Arial" w:hAnsi="Arial" w:eastAsia="Arial"/>
                <w:b/>
                <w:color w:val="FFFFFF"/>
                <w:sz w:val="13"/>
              </w:rPr>
              <w:t>Block type</w:t>
            </w:r>
          </w:p>
        </w:tc>
        <w:tc>
          <w:tcPr>
            <w:tcW w:type="dxa" w:w="3312"/>
            <w:vAlign w:val="center"/>
            <w:shd w:fill="0F172A"/>
          </w:tcPr>
          <w:p>
            <w:pPr>
              <w:spacing w:after="0"/>
            </w:pPr>
            <w:r>
              <w:rPr>
                <w:rFonts w:ascii="Arial" w:hAnsi="Arial" w:eastAsia="Arial"/>
                <w:b/>
                <w:color w:val="FFFFFF"/>
                <w:sz w:val="13"/>
              </w:rPr>
              <w:t>Repair note</w:t>
            </w:r>
          </w:p>
        </w:tc>
      </w:tr>
      <w:tr>
        <w:tc>
          <w:tcPr>
            <w:tcW w:type="dxa" w:w="1296"/>
            <w:vAlign w:val="top"/>
          </w:tcPr>
          <w:p>
            <w:pPr>
              <w:spacing w:after="0"/>
            </w:pPr>
            <w:r>
              <w:rPr>
                <w:rFonts w:ascii="Arial" w:hAnsi="Arial" w:eastAsia="Arial"/>
                <w:sz w:val="13"/>
              </w:rPr>
              <w:t>M1-S4-03</w:t>
            </w:r>
          </w:p>
        </w:tc>
        <w:tc>
          <w:tcPr>
            <w:tcW w:type="dxa" w:w="3744"/>
            <w:vAlign w:val="top"/>
          </w:tcPr>
          <w:p>
            <w:pPr>
              <w:spacing w:after="0"/>
            </w:pPr>
            <w:r>
              <w:rPr>
                <w:rFonts w:ascii="Arial" w:hAnsi="Arial" w:eastAsia="Arial"/>
                <w:sz w:val="13"/>
              </w:rPr>
              <w:t>Why the Rights-Based Option Goes Further</w:t>
            </w:r>
          </w:p>
        </w:tc>
        <w:tc>
          <w:tcPr>
            <w:tcW w:type="dxa" w:w="2448"/>
            <w:vAlign w:val="top"/>
          </w:tcPr>
          <w:p>
            <w:pPr>
              <w:spacing w:after="0"/>
            </w:pPr>
            <w:r>
              <w:rPr>
                <w:rFonts w:ascii="Arial" w:hAnsi="Arial" w:eastAsia="Arial"/>
                <w:sz w:val="13"/>
              </w:rPr>
              <w:t>Feedback explainer</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M1-S4-04</w:t>
            </w:r>
          </w:p>
        </w:tc>
        <w:tc>
          <w:tcPr>
            <w:tcW w:type="dxa" w:w="3744"/>
            <w:vAlign w:val="top"/>
          </w:tcPr>
          <w:p>
            <w:pPr>
              <w:spacing w:after="0"/>
            </w:pPr>
            <w:r>
              <w:rPr>
                <w:rFonts w:ascii="Arial" w:hAnsi="Arial" w:eastAsia="Arial"/>
                <w:sz w:val="13"/>
              </w:rPr>
              <w:t>What This Means for Your CSO</w:t>
            </w:r>
          </w:p>
        </w:tc>
        <w:tc>
          <w:tcPr>
            <w:tcW w:type="dxa" w:w="2448"/>
            <w:vAlign w:val="top"/>
          </w:tcPr>
          <w:p>
            <w:pPr>
              <w:spacing w:after="0"/>
            </w:pPr>
            <w:r>
              <w:rPr>
                <w:rFonts w:ascii="Arial" w:hAnsi="Arial" w:eastAsia="Arial"/>
                <w:sz w:val="13"/>
              </w:rPr>
              <w:t>Commitment chip</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M1-S5-01</w:t>
            </w:r>
          </w:p>
        </w:tc>
        <w:tc>
          <w:tcPr>
            <w:tcW w:type="dxa" w:w="3744"/>
            <w:vAlign w:val="top"/>
          </w:tcPr>
          <w:p>
            <w:pPr>
              <w:spacing w:after="0"/>
            </w:pPr>
            <w:r>
              <w:rPr>
                <w:rFonts w:ascii="Arial" w:hAnsi="Arial" w:eastAsia="Arial"/>
                <w:sz w:val="13"/>
              </w:rPr>
              <w:t>Rights-Holders and Duty-Bearers</w:t>
            </w:r>
          </w:p>
        </w:tc>
        <w:tc>
          <w:tcPr>
            <w:tcW w:type="dxa" w:w="2448"/>
            <w:vAlign w:val="top"/>
          </w:tcPr>
          <w:p>
            <w:pPr>
              <w:spacing w:after="0"/>
            </w:pPr>
            <w:r>
              <w:rPr>
                <w:rFonts w:ascii="Arial" w:hAnsi="Arial" w:eastAsia="Arial"/>
                <w:sz w:val="13"/>
              </w:rPr>
              <w:t>Definition cards</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M1-S5-02</w:t>
            </w:r>
          </w:p>
        </w:tc>
        <w:tc>
          <w:tcPr>
            <w:tcW w:type="dxa" w:w="3744"/>
            <w:vAlign w:val="top"/>
          </w:tcPr>
          <w:p>
            <w:pPr>
              <w:spacing w:after="0"/>
            </w:pPr>
            <w:r>
              <w:rPr>
                <w:rFonts w:ascii="Arial" w:hAnsi="Arial" w:eastAsia="Arial"/>
                <w:sz w:val="13"/>
              </w:rPr>
              <w:t>A Fictional Local CSO Scenario</w:t>
            </w:r>
          </w:p>
        </w:tc>
        <w:tc>
          <w:tcPr>
            <w:tcW w:type="dxa" w:w="2448"/>
            <w:vAlign w:val="top"/>
          </w:tcPr>
          <w:p>
            <w:pPr>
              <w:spacing w:after="0"/>
            </w:pPr>
            <w:r>
              <w:rPr>
                <w:rFonts w:ascii="Arial" w:hAnsi="Arial" w:eastAsia="Arial"/>
                <w:sz w:val="13"/>
              </w:rPr>
              <w:t>Case card</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M1-S5-03</w:t>
            </w:r>
          </w:p>
        </w:tc>
        <w:tc>
          <w:tcPr>
            <w:tcW w:type="dxa" w:w="3744"/>
            <w:vAlign w:val="top"/>
          </w:tcPr>
          <w:p>
            <w:pPr>
              <w:spacing w:after="0"/>
            </w:pPr>
            <w:r>
              <w:rPr>
                <w:rFonts w:ascii="Arial" w:hAnsi="Arial" w:eastAsia="Arial"/>
                <w:sz w:val="13"/>
              </w:rPr>
              <w:t>Who Is the Rights-Holder? Who Is the Duty-Bearer?</w:t>
            </w:r>
          </w:p>
        </w:tc>
        <w:tc>
          <w:tcPr>
            <w:tcW w:type="dxa" w:w="2448"/>
            <w:vAlign w:val="top"/>
          </w:tcPr>
          <w:p>
            <w:pPr>
              <w:spacing w:after="0"/>
            </w:pPr>
            <w:r>
              <w:rPr>
                <w:rFonts w:ascii="Arial" w:hAnsi="Arial" w:eastAsia="Arial"/>
                <w:sz w:val="13"/>
              </w:rPr>
              <w:t>Matching activity</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M1-S5-04</w:t>
            </w:r>
          </w:p>
        </w:tc>
        <w:tc>
          <w:tcPr>
            <w:tcW w:type="dxa" w:w="3744"/>
            <w:vAlign w:val="top"/>
          </w:tcPr>
          <w:p>
            <w:pPr>
              <w:spacing w:after="0"/>
            </w:pPr>
            <w:r>
              <w:rPr>
                <w:rFonts w:ascii="Arial" w:hAnsi="Arial" w:eastAsia="Arial"/>
                <w:sz w:val="13"/>
              </w:rPr>
              <w:t>Where Do CSOs Fit?</w:t>
            </w:r>
          </w:p>
        </w:tc>
        <w:tc>
          <w:tcPr>
            <w:tcW w:type="dxa" w:w="2448"/>
            <w:vAlign w:val="top"/>
          </w:tcPr>
          <w:p>
            <w:pPr>
              <w:spacing w:after="0"/>
            </w:pPr>
            <w:r>
              <w:rPr>
                <w:rFonts w:ascii="Arial" w:hAnsi="Arial" w:eastAsia="Arial"/>
                <w:sz w:val="13"/>
              </w:rPr>
              <w:t>Labeled map / diagram</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M1-S5-05</w:t>
            </w:r>
          </w:p>
        </w:tc>
        <w:tc>
          <w:tcPr>
            <w:tcW w:type="dxa" w:w="3744"/>
            <w:vAlign w:val="top"/>
          </w:tcPr>
          <w:p>
            <w:pPr>
              <w:spacing w:after="0"/>
            </w:pPr>
            <w:r>
              <w:rPr>
                <w:rFonts w:ascii="Arial" w:hAnsi="Arial" w:eastAsia="Arial"/>
                <w:sz w:val="13"/>
              </w:rPr>
              <w:t>Common Misunderstanding</w:t>
            </w:r>
          </w:p>
        </w:tc>
        <w:tc>
          <w:tcPr>
            <w:tcW w:type="dxa" w:w="2448"/>
            <w:vAlign w:val="top"/>
          </w:tcPr>
          <w:p>
            <w:pPr>
              <w:spacing w:after="0"/>
            </w:pPr>
            <w:r>
              <w:rPr>
                <w:rFonts w:ascii="Arial" w:hAnsi="Arial" w:eastAsia="Arial"/>
                <w:sz w:val="13"/>
              </w:rPr>
              <w:t>Myth/reality cards</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M1-S6-01</w:t>
            </w:r>
          </w:p>
        </w:tc>
        <w:tc>
          <w:tcPr>
            <w:tcW w:type="dxa" w:w="3744"/>
            <w:vAlign w:val="top"/>
          </w:tcPr>
          <w:p>
            <w:pPr>
              <w:spacing w:after="0"/>
            </w:pPr>
            <w:r>
              <w:rPr>
                <w:rFonts w:ascii="Arial" w:hAnsi="Arial" w:eastAsia="Arial"/>
                <w:sz w:val="13"/>
              </w:rPr>
              <w:t>Your HRBA Starting Point</w:t>
            </w:r>
          </w:p>
        </w:tc>
        <w:tc>
          <w:tcPr>
            <w:tcW w:type="dxa" w:w="2448"/>
            <w:vAlign w:val="top"/>
          </w:tcPr>
          <w:p>
            <w:pPr>
              <w:spacing w:after="0"/>
            </w:pPr>
            <w:r>
              <w:rPr>
                <w:rFonts w:ascii="Arial" w:hAnsi="Arial" w:eastAsia="Arial"/>
                <w:sz w:val="13"/>
              </w:rPr>
              <w:t>Survey intro + privacy note</w:t>
            </w:r>
          </w:p>
        </w:tc>
        <w:tc>
          <w:tcPr>
            <w:tcW w:type="dxa" w:w="3312"/>
            <w:vAlign w:val="top"/>
          </w:tcPr>
          <w:p>
            <w:pPr>
              <w:spacing w:after="0"/>
            </w:pPr>
            <w:r>
              <w:rPr>
                <w:rFonts w:ascii="Arial" w:hAnsi="Arial" w:eastAsia="Arial"/>
                <w:sz w:val="13"/>
              </w:rPr>
              <w:t>Preserve; verify private-by-default storage and no AI/raw note processing.</w:t>
            </w:r>
          </w:p>
        </w:tc>
      </w:tr>
      <w:tr>
        <w:tc>
          <w:tcPr>
            <w:tcW w:type="dxa" w:w="1296"/>
            <w:vAlign w:val="top"/>
          </w:tcPr>
          <w:p>
            <w:pPr>
              <w:spacing w:after="0"/>
            </w:pPr>
            <w:r>
              <w:rPr>
                <w:rFonts w:ascii="Arial" w:hAnsi="Arial" w:eastAsia="Arial"/>
                <w:sz w:val="13"/>
              </w:rPr>
              <w:t>M1-S6-02</w:t>
            </w:r>
          </w:p>
        </w:tc>
        <w:tc>
          <w:tcPr>
            <w:tcW w:type="dxa" w:w="3744"/>
            <w:vAlign w:val="top"/>
          </w:tcPr>
          <w:p>
            <w:pPr>
              <w:spacing w:after="0"/>
            </w:pPr>
            <w:r>
              <w:rPr>
                <w:rFonts w:ascii="Arial" w:hAnsi="Arial" w:eastAsia="Arial"/>
                <w:sz w:val="13"/>
              </w:rPr>
              <w:t>What Are You Assessing?</w:t>
            </w:r>
          </w:p>
        </w:tc>
        <w:tc>
          <w:tcPr>
            <w:tcW w:type="dxa" w:w="2448"/>
            <w:vAlign w:val="top"/>
          </w:tcPr>
          <w:p>
            <w:pPr>
              <w:spacing w:after="0"/>
            </w:pPr>
            <w:r>
              <w:rPr>
                <w:rFonts w:ascii="Arial" w:hAnsi="Arial" w:eastAsia="Arial"/>
                <w:sz w:val="13"/>
              </w:rPr>
              <w:t>Single-choice survey</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M1-S6-03</w:t>
            </w:r>
          </w:p>
        </w:tc>
        <w:tc>
          <w:tcPr>
            <w:tcW w:type="dxa" w:w="3744"/>
            <w:vAlign w:val="top"/>
          </w:tcPr>
          <w:p>
            <w:pPr>
              <w:spacing w:after="0"/>
            </w:pPr>
            <w:r>
              <w:rPr>
                <w:rFonts w:ascii="Arial" w:hAnsi="Arial" w:eastAsia="Arial"/>
                <w:sz w:val="13"/>
              </w:rPr>
              <w:t>Your Role and Context</w:t>
            </w:r>
          </w:p>
        </w:tc>
        <w:tc>
          <w:tcPr>
            <w:tcW w:type="dxa" w:w="2448"/>
            <w:vAlign w:val="top"/>
          </w:tcPr>
          <w:p>
            <w:pPr>
              <w:spacing w:after="0"/>
            </w:pPr>
            <w:r>
              <w:rPr>
                <w:rFonts w:ascii="Arial" w:hAnsi="Arial" w:eastAsia="Arial"/>
                <w:sz w:val="13"/>
              </w:rPr>
              <w:t>Short profile survey</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M1-S6-04</w:t>
            </w:r>
          </w:p>
        </w:tc>
        <w:tc>
          <w:tcPr>
            <w:tcW w:type="dxa" w:w="3744"/>
            <w:vAlign w:val="top"/>
          </w:tcPr>
          <w:p>
            <w:pPr>
              <w:spacing w:after="0"/>
            </w:pPr>
            <w:r>
              <w:rPr>
                <w:rFonts w:ascii="Arial" w:hAnsi="Arial" w:eastAsia="Arial"/>
                <w:sz w:val="13"/>
              </w:rPr>
              <w:t>How to Answer</w:t>
            </w:r>
          </w:p>
        </w:tc>
        <w:tc>
          <w:tcPr>
            <w:tcW w:type="dxa" w:w="2448"/>
            <w:vAlign w:val="top"/>
          </w:tcPr>
          <w:p>
            <w:pPr>
              <w:spacing w:after="0"/>
            </w:pPr>
            <w:r>
              <w:rPr>
                <w:rFonts w:ascii="Arial" w:hAnsi="Arial" w:eastAsia="Arial"/>
                <w:sz w:val="13"/>
              </w:rPr>
              <w:t>Instruction card</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M1-S6-05</w:t>
            </w:r>
          </w:p>
        </w:tc>
        <w:tc>
          <w:tcPr>
            <w:tcW w:type="dxa" w:w="3744"/>
            <w:vAlign w:val="top"/>
          </w:tcPr>
          <w:p>
            <w:pPr>
              <w:spacing w:after="0"/>
            </w:pPr>
            <w:r>
              <w:rPr>
                <w:rFonts w:ascii="Arial" w:hAnsi="Arial" w:eastAsia="Arial"/>
                <w:sz w:val="13"/>
              </w:rPr>
              <w:t>HRBA Starting-Point Survey</w:t>
            </w:r>
          </w:p>
        </w:tc>
        <w:tc>
          <w:tcPr>
            <w:tcW w:type="dxa" w:w="2448"/>
            <w:vAlign w:val="top"/>
          </w:tcPr>
          <w:p>
            <w:pPr>
              <w:spacing w:after="0"/>
            </w:pPr>
            <w:r>
              <w:rPr>
                <w:rFonts w:ascii="Arial" w:hAnsi="Arial" w:eastAsia="Arial"/>
                <w:sz w:val="13"/>
              </w:rPr>
              <w:t>16-item survey</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M1-S6-06</w:t>
            </w:r>
          </w:p>
        </w:tc>
        <w:tc>
          <w:tcPr>
            <w:tcW w:type="dxa" w:w="3744"/>
            <w:vAlign w:val="top"/>
          </w:tcPr>
          <w:p>
            <w:pPr>
              <w:spacing w:after="0"/>
            </w:pPr>
            <w:r>
              <w:rPr>
                <w:rFonts w:ascii="Arial" w:hAnsi="Arial" w:eastAsia="Arial"/>
                <w:sz w:val="13"/>
              </w:rPr>
              <w:t>Your Result Summary</w:t>
            </w:r>
          </w:p>
        </w:tc>
        <w:tc>
          <w:tcPr>
            <w:tcW w:type="dxa" w:w="2448"/>
            <w:vAlign w:val="top"/>
          </w:tcPr>
          <w:p>
            <w:pPr>
              <w:spacing w:after="0"/>
            </w:pPr>
            <w:r>
              <w:rPr>
                <w:rFonts w:ascii="Arial" w:hAnsi="Arial" w:eastAsia="Arial"/>
                <w:sz w:val="13"/>
              </w:rPr>
              <w:t>Automated feedback card</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M1-S6-07</w:t>
            </w:r>
          </w:p>
        </w:tc>
        <w:tc>
          <w:tcPr>
            <w:tcW w:type="dxa" w:w="3744"/>
            <w:vAlign w:val="top"/>
          </w:tcPr>
          <w:p>
            <w:pPr>
              <w:spacing w:after="0"/>
            </w:pPr>
            <w:r>
              <w:rPr>
                <w:rFonts w:ascii="Arial" w:hAnsi="Arial" w:eastAsia="Arial"/>
                <w:sz w:val="13"/>
              </w:rPr>
              <w:t>Domain Feedback</w:t>
            </w:r>
          </w:p>
        </w:tc>
        <w:tc>
          <w:tcPr>
            <w:tcW w:type="dxa" w:w="2448"/>
            <w:vAlign w:val="top"/>
          </w:tcPr>
          <w:p>
            <w:pPr>
              <w:spacing w:after="0"/>
            </w:pPr>
            <w:r>
              <w:rPr>
                <w:rFonts w:ascii="Arial" w:hAnsi="Arial" w:eastAsia="Arial"/>
                <w:sz w:val="13"/>
              </w:rPr>
              <w:t>Domain score cards</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M1-S6-08</w:t>
            </w:r>
          </w:p>
        </w:tc>
        <w:tc>
          <w:tcPr>
            <w:tcW w:type="dxa" w:w="3744"/>
            <w:vAlign w:val="top"/>
          </w:tcPr>
          <w:p>
            <w:pPr>
              <w:spacing w:after="0"/>
            </w:pPr>
            <w:r>
              <w:rPr>
                <w:rFonts w:ascii="Arial" w:hAnsi="Arial" w:eastAsia="Arial"/>
                <w:sz w:val="13"/>
              </w:rPr>
              <w:t>Choose Two Priority Areas</w:t>
            </w:r>
          </w:p>
        </w:tc>
        <w:tc>
          <w:tcPr>
            <w:tcW w:type="dxa" w:w="2448"/>
            <w:vAlign w:val="top"/>
          </w:tcPr>
          <w:p>
            <w:pPr>
              <w:spacing w:after="0"/>
            </w:pPr>
            <w:r>
              <w:rPr>
                <w:rFonts w:ascii="Arial" w:hAnsi="Arial" w:eastAsia="Arial"/>
                <w:sz w:val="13"/>
              </w:rPr>
              <w:t>Priority selector</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M1-S6-09</w:t>
            </w:r>
          </w:p>
        </w:tc>
        <w:tc>
          <w:tcPr>
            <w:tcW w:type="dxa" w:w="3744"/>
            <w:vAlign w:val="top"/>
          </w:tcPr>
          <w:p>
            <w:pPr>
              <w:spacing w:after="0"/>
            </w:pPr>
            <w:r>
              <w:rPr>
                <w:rFonts w:ascii="Arial" w:hAnsi="Arial" w:eastAsia="Arial"/>
                <w:sz w:val="13"/>
              </w:rPr>
              <w:t>Save My HRBA Starting Point</w:t>
            </w:r>
          </w:p>
        </w:tc>
        <w:tc>
          <w:tcPr>
            <w:tcW w:type="dxa" w:w="2448"/>
            <w:vAlign w:val="top"/>
          </w:tcPr>
          <w:p>
            <w:pPr>
              <w:spacing w:after="0"/>
            </w:pPr>
            <w:r>
              <w:rPr>
                <w:rFonts w:ascii="Arial" w:hAnsi="Arial" w:eastAsia="Arial"/>
                <w:sz w:val="13"/>
              </w:rPr>
              <w:t>Portfolio save + optional note</w:t>
            </w:r>
          </w:p>
        </w:tc>
        <w:tc>
          <w:tcPr>
            <w:tcW w:type="dxa" w:w="3312"/>
            <w:vAlign w:val="top"/>
          </w:tcPr>
          <w:p>
            <w:pPr>
              <w:spacing w:after="0"/>
            </w:pPr>
            <w:r>
              <w:rPr>
                <w:rFonts w:ascii="Arial" w:hAnsi="Arial" w:eastAsia="Arial"/>
                <w:sz w:val="13"/>
              </w:rPr>
              <w:t>Preserve; verify private-by-default storage and no AI/raw note processing.</w:t>
            </w:r>
          </w:p>
        </w:tc>
      </w:tr>
      <w:tr>
        <w:tc>
          <w:tcPr>
            <w:tcW w:type="dxa" w:w="1296"/>
            <w:vAlign w:val="top"/>
          </w:tcPr>
          <w:p>
            <w:pPr>
              <w:spacing w:after="0"/>
            </w:pPr>
            <w:r>
              <w:rPr>
                <w:rFonts w:ascii="Arial" w:hAnsi="Arial" w:eastAsia="Arial"/>
                <w:sz w:val="13"/>
              </w:rPr>
              <w:t>M1-S6-10</w:t>
            </w:r>
          </w:p>
        </w:tc>
        <w:tc>
          <w:tcPr>
            <w:tcW w:type="dxa" w:w="3744"/>
            <w:vAlign w:val="top"/>
          </w:tcPr>
          <w:p>
            <w:pPr>
              <w:spacing w:after="0"/>
            </w:pPr>
            <w:r>
              <w:rPr>
                <w:rFonts w:ascii="Arial" w:hAnsi="Arial" w:eastAsia="Arial"/>
                <w:sz w:val="13"/>
              </w:rPr>
              <w:t>How to Use Your Result</w:t>
            </w:r>
          </w:p>
        </w:tc>
        <w:tc>
          <w:tcPr>
            <w:tcW w:type="dxa" w:w="2448"/>
            <w:vAlign w:val="top"/>
          </w:tcPr>
          <w:p>
            <w:pPr>
              <w:spacing w:after="0"/>
            </w:pPr>
            <w:r>
              <w:rPr>
                <w:rFonts w:ascii="Arial" w:hAnsi="Arial" w:eastAsia="Arial"/>
                <w:sz w:val="13"/>
              </w:rPr>
              <w:t>Transition card</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M1-S7-01</w:t>
            </w:r>
          </w:p>
        </w:tc>
        <w:tc>
          <w:tcPr>
            <w:tcW w:type="dxa" w:w="3744"/>
            <w:vAlign w:val="top"/>
          </w:tcPr>
          <w:p>
            <w:pPr>
              <w:spacing w:after="0"/>
            </w:pPr>
            <w:r>
              <w:rPr>
                <w:rFonts w:ascii="Arial" w:hAnsi="Arial" w:eastAsia="Arial"/>
                <w:sz w:val="13"/>
              </w:rPr>
              <w:t>Add to My HRBA Learning Portfolio</w:t>
            </w:r>
          </w:p>
        </w:tc>
        <w:tc>
          <w:tcPr>
            <w:tcW w:type="dxa" w:w="2448"/>
            <w:vAlign w:val="top"/>
          </w:tcPr>
          <w:p>
            <w:pPr>
              <w:spacing w:after="0"/>
            </w:pPr>
            <w:r>
              <w:rPr>
                <w:rFonts w:ascii="Arial" w:hAnsi="Arial" w:eastAsia="Arial"/>
                <w:sz w:val="13"/>
              </w:rPr>
              <w:t>Structured portfolio checkpoint</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M1-S7-02</w:t>
            </w:r>
          </w:p>
        </w:tc>
        <w:tc>
          <w:tcPr>
            <w:tcW w:type="dxa" w:w="3744"/>
            <w:vAlign w:val="top"/>
          </w:tcPr>
          <w:p>
            <w:pPr>
              <w:spacing w:after="0"/>
            </w:pPr>
            <w:r>
              <w:rPr>
                <w:rFonts w:ascii="Arial" w:hAnsi="Arial" w:eastAsia="Arial"/>
                <w:sz w:val="13"/>
              </w:rPr>
              <w:t>Module 1 Quiz</w:t>
            </w:r>
          </w:p>
        </w:tc>
        <w:tc>
          <w:tcPr>
            <w:tcW w:type="dxa" w:w="2448"/>
            <w:vAlign w:val="top"/>
          </w:tcPr>
          <w:p>
            <w:pPr>
              <w:spacing w:after="0"/>
            </w:pPr>
            <w:r>
              <w:rPr>
                <w:rFonts w:ascii="Arial" w:hAnsi="Arial" w:eastAsia="Arial"/>
                <w:sz w:val="13"/>
              </w:rPr>
              <w:t>5-question MCQ quiz</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M1-S7-03</w:t>
            </w:r>
          </w:p>
        </w:tc>
        <w:tc>
          <w:tcPr>
            <w:tcW w:type="dxa" w:w="3744"/>
            <w:vAlign w:val="top"/>
          </w:tcPr>
          <w:p>
            <w:pPr>
              <w:spacing w:after="0"/>
            </w:pPr>
            <w:r>
              <w:rPr>
                <w:rFonts w:ascii="Arial" w:hAnsi="Arial" w:eastAsia="Arial"/>
                <w:sz w:val="13"/>
              </w:rPr>
              <w:t>Review Your Feedback</w:t>
            </w:r>
          </w:p>
        </w:tc>
        <w:tc>
          <w:tcPr>
            <w:tcW w:type="dxa" w:w="2448"/>
            <w:vAlign w:val="top"/>
          </w:tcPr>
          <w:p>
            <w:pPr>
              <w:spacing w:after="0"/>
            </w:pPr>
            <w:r>
              <w:rPr>
                <w:rFonts w:ascii="Arial" w:hAnsi="Arial" w:eastAsia="Arial"/>
                <w:sz w:val="13"/>
              </w:rPr>
              <w:t>Feedback summary</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M1-S7-04</w:t>
            </w:r>
          </w:p>
        </w:tc>
        <w:tc>
          <w:tcPr>
            <w:tcW w:type="dxa" w:w="3744"/>
            <w:vAlign w:val="top"/>
          </w:tcPr>
          <w:p>
            <w:pPr>
              <w:spacing w:after="0"/>
            </w:pPr>
            <w:r>
              <w:rPr>
                <w:rFonts w:ascii="Arial" w:hAnsi="Arial" w:eastAsia="Arial"/>
                <w:sz w:val="13"/>
              </w:rPr>
              <w:t>What You Have Started</w:t>
            </w:r>
          </w:p>
        </w:tc>
        <w:tc>
          <w:tcPr>
            <w:tcW w:type="dxa" w:w="2448"/>
            <w:vAlign w:val="top"/>
          </w:tcPr>
          <w:p>
            <w:pPr>
              <w:spacing w:after="0"/>
            </w:pPr>
            <w:r>
              <w:rPr>
                <w:rFonts w:ascii="Arial" w:hAnsi="Arial" w:eastAsia="Arial"/>
                <w:sz w:val="13"/>
              </w:rPr>
              <w:t>Module summary</w:t>
            </w:r>
          </w:p>
        </w:tc>
        <w:tc>
          <w:tcPr>
            <w:tcW w:type="dxa" w:w="3312"/>
            <w:vAlign w:val="top"/>
          </w:tcPr>
          <w:p>
            <w:pPr>
              <w:spacing w:after="0"/>
            </w:pPr>
            <w:r>
              <w:rPr>
                <w:rFonts w:ascii="Arial" w:hAnsi="Arial" w:eastAsia="Arial"/>
                <w:sz w:val="13"/>
              </w:rPr>
              <w:t>Preserve; map to player block and verify accessibility.</w:t>
            </w:r>
          </w:p>
        </w:tc>
      </w:tr>
      <w:tr>
        <w:tc>
          <w:tcPr>
            <w:tcW w:type="dxa" w:w="1296"/>
            <w:vAlign w:val="top"/>
          </w:tcPr>
          <w:p>
            <w:pPr>
              <w:spacing w:after="0"/>
            </w:pPr>
            <w:r>
              <w:rPr>
                <w:rFonts w:ascii="Arial" w:hAnsi="Arial" w:eastAsia="Arial"/>
                <w:sz w:val="13"/>
              </w:rPr>
              <w:t>M1-S7-05</w:t>
            </w:r>
          </w:p>
        </w:tc>
        <w:tc>
          <w:tcPr>
            <w:tcW w:type="dxa" w:w="3744"/>
            <w:vAlign w:val="top"/>
          </w:tcPr>
          <w:p>
            <w:pPr>
              <w:spacing w:after="0"/>
            </w:pPr>
            <w:r>
              <w:rPr>
                <w:rFonts w:ascii="Arial" w:hAnsi="Arial" w:eastAsia="Arial"/>
                <w:sz w:val="13"/>
              </w:rPr>
              <w:t>Next: Human Rights in Everyday CSO Work</w:t>
            </w:r>
          </w:p>
        </w:tc>
        <w:tc>
          <w:tcPr>
            <w:tcW w:type="dxa" w:w="2448"/>
            <w:vAlign w:val="top"/>
          </w:tcPr>
          <w:p>
            <w:pPr>
              <w:spacing w:after="0"/>
            </w:pPr>
            <w:r>
              <w:rPr>
                <w:rFonts w:ascii="Arial" w:hAnsi="Arial" w:eastAsia="Arial"/>
                <w:sz w:val="13"/>
              </w:rPr>
              <w:t>Next-step CTA</w:t>
            </w:r>
          </w:p>
        </w:tc>
        <w:tc>
          <w:tcPr>
            <w:tcW w:type="dxa" w:w="3312"/>
            <w:vAlign w:val="top"/>
          </w:tcPr>
          <w:p>
            <w:pPr>
              <w:spacing w:after="0"/>
            </w:pPr>
            <w:r>
              <w:rPr>
                <w:rFonts w:ascii="Arial" w:hAnsi="Arial" w:eastAsia="Arial"/>
                <w:sz w:val="13"/>
              </w:rPr>
              <w:t>Convert to platform return/Module 2 CTA state.</w:t>
            </w:r>
          </w:p>
        </w:tc>
      </w:tr>
    </w:tbl>
    <w:p/>
    <w:p>
      <w:pPr>
        <w:pStyle w:val="Heading1"/>
      </w:pPr>
      <w:r>
        <w:t>9. Build gate after targeted repair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232"/>
            <w:vAlign w:val="center"/>
            <w:shd w:fill="0F172A"/>
          </w:tcPr>
          <w:p>
            <w:pPr>
              <w:spacing w:after="0"/>
            </w:pPr>
            <w:r>
              <w:rPr>
                <w:rFonts w:ascii="Arial" w:hAnsi="Arial" w:eastAsia="Arial"/>
                <w:b/>
                <w:color w:val="FFFFFF"/>
                <w:sz w:val="15"/>
              </w:rPr>
              <w:t>Gate</w:t>
            </w:r>
          </w:p>
        </w:tc>
        <w:tc>
          <w:tcPr>
            <w:tcW w:type="dxa" w:w="1800"/>
            <w:vAlign w:val="center"/>
            <w:shd w:fill="0F172A"/>
          </w:tcPr>
          <w:p>
            <w:pPr>
              <w:spacing w:after="0"/>
            </w:pPr>
            <w:r>
              <w:rPr>
                <w:rFonts w:ascii="Arial" w:hAnsi="Arial" w:eastAsia="Arial"/>
                <w:b/>
                <w:color w:val="FFFFFF"/>
                <w:sz w:val="15"/>
              </w:rPr>
              <w:t>Decision</w:t>
            </w:r>
          </w:p>
        </w:tc>
        <w:tc>
          <w:tcPr>
            <w:tcW w:type="dxa" w:w="5184"/>
            <w:vAlign w:val="center"/>
            <w:shd w:fill="0F172A"/>
          </w:tcPr>
          <w:p>
            <w:pPr>
              <w:spacing w:after="0"/>
            </w:pPr>
            <w:r>
              <w:rPr>
                <w:rFonts w:ascii="Arial" w:hAnsi="Arial" w:eastAsia="Arial"/>
                <w:b/>
                <w:color w:val="FFFFFF"/>
                <w:sz w:val="15"/>
              </w:rPr>
              <w:t>Evidence / comments</w:t>
            </w:r>
          </w:p>
        </w:tc>
        <w:tc>
          <w:tcPr>
            <w:tcW w:type="dxa" w:w="1584"/>
            <w:vAlign w:val="center"/>
            <w:shd w:fill="0F172A"/>
          </w:tcPr>
          <w:p>
            <w:pPr>
              <w:spacing w:after="0"/>
            </w:pPr>
            <w:r>
              <w:rPr>
                <w:rFonts w:ascii="Arial" w:hAnsi="Arial" w:eastAsia="Arial"/>
                <w:b/>
                <w:color w:val="FFFFFF"/>
                <w:sz w:val="15"/>
              </w:rPr>
              <w:t>Status</w:t>
            </w:r>
          </w:p>
        </w:tc>
      </w:tr>
      <w:tr>
        <w:tc>
          <w:tcPr>
            <w:tcW w:type="dxa" w:w="2232"/>
            <w:vAlign w:val="top"/>
          </w:tcPr>
          <w:p>
            <w:pPr>
              <w:spacing w:after="0"/>
            </w:pPr>
            <w:r>
              <w:rPr>
                <w:rFonts w:ascii="Arial" w:hAnsi="Arial" w:eastAsia="Arial"/>
                <w:sz w:val="15"/>
              </w:rPr>
              <w:t>Design lock alignment</w:t>
            </w:r>
          </w:p>
        </w:tc>
        <w:tc>
          <w:tcPr>
            <w:tcW w:type="dxa" w:w="1800"/>
            <w:vAlign w:val="top"/>
          </w:tcPr>
          <w:p>
            <w:pPr>
              <w:spacing w:after="0"/>
            </w:pPr>
            <w:r>
              <w:rPr>
                <w:rFonts w:ascii="Arial" w:hAnsi="Arial" w:eastAsia="Arial"/>
                <w:sz w:val="15"/>
              </w:rPr>
              <w:t>PASS WITH CONDITIONS</w:t>
            </w:r>
          </w:p>
        </w:tc>
        <w:tc>
          <w:tcPr>
            <w:tcW w:type="dxa" w:w="5184"/>
            <w:vAlign w:val="top"/>
          </w:tcPr>
          <w:p>
            <w:pPr>
              <w:spacing w:after="0"/>
            </w:pPr>
            <w:r>
              <w:rPr>
                <w:rFonts w:ascii="Arial" w:hAnsi="Arial" w:eastAsia="Arial"/>
                <w:sz w:val="15"/>
              </w:rPr>
              <w:t>Two-layer architecture and Agora-inspired components are preserved; add explicit shell states for cover/help/completion.</w:t>
            </w:r>
          </w:p>
        </w:tc>
        <w:tc>
          <w:tcPr>
            <w:tcW w:type="dxa" w:w="1584"/>
            <w:vAlign w:val="top"/>
          </w:tcPr>
          <w:p>
            <w:pPr>
              <w:spacing w:after="0"/>
            </w:pPr>
            <w:r>
              <w:rPr>
                <w:rFonts w:ascii="Arial" w:hAnsi="Arial" w:eastAsia="Arial"/>
                <w:sz w:val="15"/>
              </w:rPr>
              <w:t>Conditional pass</w:t>
            </w:r>
          </w:p>
        </w:tc>
      </w:tr>
      <w:tr>
        <w:tc>
          <w:tcPr>
            <w:tcW w:type="dxa" w:w="2232"/>
            <w:vAlign w:val="top"/>
          </w:tcPr>
          <w:p>
            <w:pPr>
              <w:spacing w:after="0"/>
            </w:pPr>
            <w:r>
              <w:rPr>
                <w:rFonts w:ascii="Arial" w:hAnsi="Arial" w:eastAsia="Arial"/>
                <w:sz w:val="15"/>
              </w:rPr>
              <w:t>Module content cleanliness</w:t>
            </w:r>
          </w:p>
        </w:tc>
        <w:tc>
          <w:tcPr>
            <w:tcW w:type="dxa" w:w="1800"/>
            <w:vAlign w:val="top"/>
          </w:tcPr>
          <w:p>
            <w:pPr>
              <w:spacing w:after="0"/>
            </w:pPr>
            <w:r>
              <w:rPr>
                <w:rFonts w:ascii="Arial" w:hAnsi="Arial" w:eastAsia="Arial"/>
                <w:sz w:val="15"/>
              </w:rPr>
              <w:t>PASS</w:t>
            </w:r>
          </w:p>
        </w:tc>
        <w:tc>
          <w:tcPr>
            <w:tcW w:type="dxa" w:w="5184"/>
            <w:vAlign w:val="top"/>
          </w:tcPr>
          <w:p>
            <w:pPr>
              <w:spacing w:after="0"/>
            </w:pPr>
            <w:r>
              <w:rPr>
                <w:rFonts w:ascii="Arial" w:hAnsi="Arial" w:eastAsia="Arial"/>
                <w:sz w:val="15"/>
              </w:rPr>
              <w:t>Clean package excludes QA history and internal reviewer notes from learner-facing build.</w:t>
            </w:r>
          </w:p>
        </w:tc>
        <w:tc>
          <w:tcPr>
            <w:tcW w:type="dxa" w:w="1584"/>
            <w:vAlign w:val="top"/>
          </w:tcPr>
          <w:p>
            <w:pPr>
              <w:spacing w:after="0"/>
            </w:pPr>
            <w:r>
              <w:rPr>
                <w:rFonts w:ascii="Arial" w:hAnsi="Arial" w:eastAsia="Arial"/>
                <w:sz w:val="15"/>
              </w:rPr>
              <w:t>Pass</w:t>
            </w:r>
          </w:p>
        </w:tc>
      </w:tr>
      <w:tr>
        <w:tc>
          <w:tcPr>
            <w:tcW w:type="dxa" w:w="2232"/>
            <w:vAlign w:val="top"/>
          </w:tcPr>
          <w:p>
            <w:pPr>
              <w:spacing w:after="0"/>
            </w:pPr>
            <w:r>
              <w:rPr>
                <w:rFonts w:ascii="Arial" w:hAnsi="Arial" w:eastAsia="Arial"/>
                <w:sz w:val="15"/>
              </w:rPr>
              <w:t>Screen count flexibility</w:t>
            </w:r>
          </w:p>
        </w:tc>
        <w:tc>
          <w:tcPr>
            <w:tcW w:type="dxa" w:w="1800"/>
            <w:vAlign w:val="top"/>
          </w:tcPr>
          <w:p>
            <w:pPr>
              <w:spacing w:after="0"/>
            </w:pPr>
            <w:r>
              <w:rPr>
                <w:rFonts w:ascii="Arial" w:hAnsi="Arial" w:eastAsia="Arial"/>
                <w:sz w:val="15"/>
              </w:rPr>
              <w:t>PASS</w:t>
            </w:r>
          </w:p>
        </w:tc>
        <w:tc>
          <w:tcPr>
            <w:tcW w:type="dxa" w:w="5184"/>
            <w:vAlign w:val="top"/>
          </w:tcPr>
          <w:p>
            <w:pPr>
              <w:spacing w:after="0"/>
            </w:pPr>
            <w:r>
              <w:rPr>
                <w:rFonts w:ascii="Arial" w:hAnsi="Arial" w:eastAsia="Arial"/>
                <w:sz w:val="15"/>
              </w:rPr>
              <w:t>Module 1 uses 44 screens/blocks because content requires it; no fixed 26-screen rule applied.</w:t>
            </w:r>
          </w:p>
        </w:tc>
        <w:tc>
          <w:tcPr>
            <w:tcW w:type="dxa" w:w="1584"/>
            <w:vAlign w:val="top"/>
          </w:tcPr>
          <w:p>
            <w:pPr>
              <w:spacing w:after="0"/>
            </w:pPr>
            <w:r>
              <w:rPr>
                <w:rFonts w:ascii="Arial" w:hAnsi="Arial" w:eastAsia="Arial"/>
                <w:sz w:val="15"/>
              </w:rPr>
              <w:t>Pass</w:t>
            </w:r>
          </w:p>
        </w:tc>
      </w:tr>
      <w:tr>
        <w:tc>
          <w:tcPr>
            <w:tcW w:type="dxa" w:w="2232"/>
            <w:vAlign w:val="top"/>
          </w:tcPr>
          <w:p>
            <w:pPr>
              <w:spacing w:after="0"/>
            </w:pPr>
            <w:r>
              <w:rPr>
                <w:rFonts w:ascii="Arial" w:hAnsi="Arial" w:eastAsia="Arial"/>
                <w:sz w:val="15"/>
              </w:rPr>
              <w:t>Learning objectives</w:t>
            </w:r>
          </w:p>
        </w:tc>
        <w:tc>
          <w:tcPr>
            <w:tcW w:type="dxa" w:w="1800"/>
            <w:vAlign w:val="top"/>
          </w:tcPr>
          <w:p>
            <w:pPr>
              <w:spacing w:after="0"/>
            </w:pPr>
            <w:r>
              <w:rPr>
                <w:rFonts w:ascii="Arial" w:hAnsi="Arial" w:eastAsia="Arial"/>
                <w:sz w:val="15"/>
              </w:rPr>
              <w:t>PASS WITH CONDITIONS</w:t>
            </w:r>
          </w:p>
        </w:tc>
        <w:tc>
          <w:tcPr>
            <w:tcW w:type="dxa" w:w="5184"/>
            <w:vAlign w:val="top"/>
          </w:tcPr>
          <w:p>
            <w:pPr>
              <w:spacing w:after="0"/>
            </w:pPr>
            <w:r>
              <w:rPr>
                <w:rFonts w:ascii="Arial" w:hAnsi="Arial" w:eastAsia="Arial"/>
                <w:sz w:val="15"/>
              </w:rPr>
              <w:t>Objectives are strong but need explicit capacity/K-S/assessment mapping.</w:t>
            </w:r>
          </w:p>
        </w:tc>
        <w:tc>
          <w:tcPr>
            <w:tcW w:type="dxa" w:w="1584"/>
            <w:vAlign w:val="top"/>
          </w:tcPr>
          <w:p>
            <w:pPr>
              <w:spacing w:after="0"/>
            </w:pPr>
            <w:r>
              <w:rPr>
                <w:rFonts w:ascii="Arial" w:hAnsi="Arial" w:eastAsia="Arial"/>
                <w:sz w:val="15"/>
              </w:rPr>
              <w:t>Conditional pass</w:t>
            </w:r>
          </w:p>
        </w:tc>
      </w:tr>
      <w:tr>
        <w:tc>
          <w:tcPr>
            <w:tcW w:type="dxa" w:w="2232"/>
            <w:vAlign w:val="top"/>
          </w:tcPr>
          <w:p>
            <w:pPr>
              <w:spacing w:after="0"/>
            </w:pPr>
            <w:r>
              <w:rPr>
                <w:rFonts w:ascii="Arial" w:hAnsi="Arial" w:eastAsia="Arial"/>
                <w:sz w:val="15"/>
              </w:rPr>
              <w:t>Interaction quality</w:t>
            </w:r>
          </w:p>
        </w:tc>
        <w:tc>
          <w:tcPr>
            <w:tcW w:type="dxa" w:w="1800"/>
            <w:vAlign w:val="top"/>
          </w:tcPr>
          <w:p>
            <w:pPr>
              <w:spacing w:after="0"/>
            </w:pPr>
            <w:r>
              <w:rPr>
                <w:rFonts w:ascii="Arial" w:hAnsi="Arial" w:eastAsia="Arial"/>
                <w:sz w:val="15"/>
              </w:rPr>
              <w:t>PASS WITH CONDITIONS</w:t>
            </w:r>
          </w:p>
        </w:tc>
        <w:tc>
          <w:tcPr>
            <w:tcW w:type="dxa" w:w="5184"/>
            <w:vAlign w:val="top"/>
          </w:tcPr>
          <w:p>
            <w:pPr>
              <w:spacing w:after="0"/>
            </w:pPr>
            <w:r>
              <w:rPr>
                <w:rFonts w:ascii="Arial" w:hAnsi="Arial" w:eastAsia="Arial"/>
                <w:sz w:val="15"/>
              </w:rPr>
              <w:t>Scenario, sorting, matching, survey, and quiz are strong; state registry required before build.</w:t>
            </w:r>
          </w:p>
        </w:tc>
        <w:tc>
          <w:tcPr>
            <w:tcW w:type="dxa" w:w="1584"/>
            <w:vAlign w:val="top"/>
          </w:tcPr>
          <w:p>
            <w:pPr>
              <w:spacing w:after="0"/>
            </w:pPr>
            <w:r>
              <w:rPr>
                <w:rFonts w:ascii="Arial" w:hAnsi="Arial" w:eastAsia="Arial"/>
                <w:sz w:val="15"/>
              </w:rPr>
              <w:t>Conditional pass</w:t>
            </w:r>
          </w:p>
        </w:tc>
      </w:tr>
      <w:tr>
        <w:tc>
          <w:tcPr>
            <w:tcW w:type="dxa" w:w="2232"/>
            <w:vAlign w:val="top"/>
          </w:tcPr>
          <w:p>
            <w:pPr>
              <w:spacing w:after="0"/>
            </w:pPr>
            <w:r>
              <w:rPr>
                <w:rFonts w:ascii="Arial" w:hAnsi="Arial" w:eastAsia="Arial"/>
                <w:sz w:val="15"/>
              </w:rPr>
              <w:t>Safety/privacy</w:t>
            </w:r>
          </w:p>
        </w:tc>
        <w:tc>
          <w:tcPr>
            <w:tcW w:type="dxa" w:w="1800"/>
            <w:vAlign w:val="top"/>
          </w:tcPr>
          <w:p>
            <w:pPr>
              <w:spacing w:after="0"/>
            </w:pPr>
            <w:r>
              <w:rPr>
                <w:rFonts w:ascii="Arial" w:hAnsi="Arial" w:eastAsia="Arial"/>
                <w:sz w:val="15"/>
              </w:rPr>
              <w:t>PASS</w:t>
            </w:r>
          </w:p>
        </w:tc>
        <w:tc>
          <w:tcPr>
            <w:tcW w:type="dxa" w:w="5184"/>
            <w:vAlign w:val="top"/>
          </w:tcPr>
          <w:p>
            <w:pPr>
              <w:spacing w:after="0"/>
            </w:pPr>
            <w:r>
              <w:rPr>
                <w:rFonts w:ascii="Arial" w:hAnsi="Arial" w:eastAsia="Arial"/>
                <w:sz w:val="15"/>
              </w:rPr>
              <w:t>Safe-by-default rules are strong and no sensitive uploads are requested.</w:t>
            </w:r>
          </w:p>
        </w:tc>
        <w:tc>
          <w:tcPr>
            <w:tcW w:type="dxa" w:w="1584"/>
            <w:vAlign w:val="top"/>
          </w:tcPr>
          <w:p>
            <w:pPr>
              <w:spacing w:after="0"/>
            </w:pPr>
            <w:r>
              <w:rPr>
                <w:rFonts w:ascii="Arial" w:hAnsi="Arial" w:eastAsia="Arial"/>
                <w:sz w:val="15"/>
              </w:rPr>
              <w:t>Pass</w:t>
            </w:r>
          </w:p>
        </w:tc>
      </w:tr>
      <w:tr>
        <w:tc>
          <w:tcPr>
            <w:tcW w:type="dxa" w:w="2232"/>
            <w:vAlign w:val="top"/>
          </w:tcPr>
          <w:p>
            <w:pPr>
              <w:spacing w:after="0"/>
            </w:pPr>
            <w:r>
              <w:rPr>
                <w:rFonts w:ascii="Arial" w:hAnsi="Arial" w:eastAsia="Arial"/>
                <w:sz w:val="15"/>
              </w:rPr>
              <w:t>Accessibility/low bandwidth</w:t>
            </w:r>
          </w:p>
        </w:tc>
        <w:tc>
          <w:tcPr>
            <w:tcW w:type="dxa" w:w="1800"/>
            <w:vAlign w:val="top"/>
          </w:tcPr>
          <w:p>
            <w:pPr>
              <w:spacing w:after="0"/>
            </w:pPr>
            <w:r>
              <w:rPr>
                <w:rFonts w:ascii="Arial" w:hAnsi="Arial" w:eastAsia="Arial"/>
                <w:sz w:val="15"/>
              </w:rPr>
              <w:t>PASS WITH CONDITIONS</w:t>
            </w:r>
          </w:p>
        </w:tc>
        <w:tc>
          <w:tcPr>
            <w:tcW w:type="dxa" w:w="5184"/>
            <w:vAlign w:val="top"/>
          </w:tcPr>
          <w:p>
            <w:pPr>
              <w:spacing w:after="0"/>
            </w:pPr>
            <w:r>
              <w:rPr>
                <w:rFonts w:ascii="Arial" w:hAnsi="Arial" w:eastAsia="Arial"/>
                <w:sz w:val="15"/>
              </w:rPr>
              <w:t>Requirements are documented; implementation testing required.</w:t>
            </w:r>
          </w:p>
        </w:tc>
        <w:tc>
          <w:tcPr>
            <w:tcW w:type="dxa" w:w="1584"/>
            <w:vAlign w:val="top"/>
          </w:tcPr>
          <w:p>
            <w:pPr>
              <w:spacing w:after="0"/>
            </w:pPr>
            <w:r>
              <w:rPr>
                <w:rFonts w:ascii="Arial" w:hAnsi="Arial" w:eastAsia="Arial"/>
                <w:sz w:val="15"/>
              </w:rPr>
              <w:t>Conditional pass</w:t>
            </w:r>
          </w:p>
        </w:tc>
      </w:tr>
      <w:tr>
        <w:tc>
          <w:tcPr>
            <w:tcW w:type="dxa" w:w="2232"/>
            <w:vAlign w:val="top"/>
          </w:tcPr>
          <w:p>
            <w:pPr>
              <w:spacing w:after="0"/>
            </w:pPr>
            <w:r>
              <w:rPr>
                <w:rFonts w:ascii="Arial" w:hAnsi="Arial" w:eastAsia="Arial"/>
                <w:sz w:val="15"/>
              </w:rPr>
              <w:t>Visual assets</w:t>
            </w:r>
          </w:p>
        </w:tc>
        <w:tc>
          <w:tcPr>
            <w:tcW w:type="dxa" w:w="1800"/>
            <w:vAlign w:val="top"/>
          </w:tcPr>
          <w:p>
            <w:pPr>
              <w:spacing w:after="0"/>
            </w:pPr>
            <w:r>
              <w:rPr>
                <w:rFonts w:ascii="Arial" w:hAnsi="Arial" w:eastAsia="Arial"/>
                <w:sz w:val="15"/>
              </w:rPr>
              <w:t>NOT YET READY</w:t>
            </w:r>
          </w:p>
        </w:tc>
        <w:tc>
          <w:tcPr>
            <w:tcW w:type="dxa" w:w="5184"/>
            <w:vAlign w:val="top"/>
          </w:tcPr>
          <w:p>
            <w:pPr>
              <w:spacing w:after="0"/>
            </w:pPr>
            <w:r>
              <w:rPr>
                <w:rFonts w:ascii="Arial" w:hAnsi="Arial" w:eastAsia="Arial"/>
                <w:sz w:val="15"/>
              </w:rPr>
              <w:t>Placeholders exist; final prompts/files need production.</w:t>
            </w:r>
          </w:p>
        </w:tc>
        <w:tc>
          <w:tcPr>
            <w:tcW w:type="dxa" w:w="1584"/>
            <w:vAlign w:val="top"/>
          </w:tcPr>
          <w:p>
            <w:pPr>
              <w:spacing w:after="0"/>
            </w:pPr>
            <w:r>
              <w:rPr>
                <w:rFonts w:ascii="Arial" w:hAnsi="Arial" w:eastAsia="Arial"/>
                <w:sz w:val="15"/>
              </w:rPr>
              <w:t>Needs action</w:t>
            </w:r>
          </w:p>
        </w:tc>
      </w:tr>
      <w:tr>
        <w:tc>
          <w:tcPr>
            <w:tcW w:type="dxa" w:w="2232"/>
            <w:vAlign w:val="top"/>
          </w:tcPr>
          <w:p>
            <w:pPr>
              <w:spacing w:after="0"/>
            </w:pPr>
            <w:r>
              <w:rPr>
                <w:rFonts w:ascii="Arial" w:hAnsi="Arial" w:eastAsia="Arial"/>
                <w:sz w:val="15"/>
              </w:rPr>
              <w:t>Platform transition</w:t>
            </w:r>
          </w:p>
        </w:tc>
        <w:tc>
          <w:tcPr>
            <w:tcW w:type="dxa" w:w="1800"/>
            <w:vAlign w:val="top"/>
          </w:tcPr>
          <w:p>
            <w:pPr>
              <w:spacing w:after="0"/>
            </w:pPr>
            <w:r>
              <w:rPr>
                <w:rFonts w:ascii="Arial" w:hAnsi="Arial" w:eastAsia="Arial"/>
                <w:sz w:val="15"/>
              </w:rPr>
              <w:t>NOT YET READY</w:t>
            </w:r>
          </w:p>
        </w:tc>
        <w:tc>
          <w:tcPr>
            <w:tcW w:type="dxa" w:w="5184"/>
            <w:vAlign w:val="top"/>
          </w:tcPr>
          <w:p>
            <w:pPr>
              <w:spacing w:after="0"/>
            </w:pPr>
            <w:r>
              <w:rPr>
                <w:rFonts w:ascii="Arial" w:hAnsi="Arial" w:eastAsia="Arial"/>
                <w:sz w:val="15"/>
              </w:rPr>
              <w:t>Return-to-platform progress update and Module 2 launch must be implemented in Layer 1 state model.</w:t>
            </w:r>
          </w:p>
        </w:tc>
        <w:tc>
          <w:tcPr>
            <w:tcW w:type="dxa" w:w="1584"/>
            <w:vAlign w:val="top"/>
          </w:tcPr>
          <w:p>
            <w:pPr>
              <w:spacing w:after="0"/>
            </w:pPr>
            <w:r>
              <w:rPr>
                <w:rFonts w:ascii="Arial" w:hAnsi="Arial" w:eastAsia="Arial"/>
                <w:sz w:val="15"/>
              </w:rPr>
              <w:t>Needs action</w:t>
            </w:r>
          </w:p>
        </w:tc>
      </w:tr>
      <w:tr>
        <w:tc>
          <w:tcPr>
            <w:tcW w:type="dxa" w:w="2232"/>
            <w:vAlign w:val="top"/>
          </w:tcPr>
          <w:p>
            <w:pPr>
              <w:spacing w:after="0"/>
            </w:pPr>
            <w:r>
              <w:rPr>
                <w:rFonts w:ascii="Arial" w:hAnsi="Arial" w:eastAsia="Arial"/>
                <w:sz w:val="15"/>
              </w:rPr>
              <w:t>Build readiness</w:t>
            </w:r>
          </w:p>
        </w:tc>
        <w:tc>
          <w:tcPr>
            <w:tcW w:type="dxa" w:w="1800"/>
            <w:vAlign w:val="top"/>
          </w:tcPr>
          <w:p>
            <w:pPr>
              <w:spacing w:after="0"/>
            </w:pPr>
            <w:r>
              <w:rPr>
                <w:rFonts w:ascii="Arial" w:hAnsi="Arial" w:eastAsia="Arial"/>
                <w:sz w:val="15"/>
              </w:rPr>
              <w:t>CONDITIONAL GO</w:t>
            </w:r>
          </w:p>
        </w:tc>
        <w:tc>
          <w:tcPr>
            <w:tcW w:type="dxa" w:w="5184"/>
            <w:vAlign w:val="top"/>
          </w:tcPr>
          <w:p>
            <w:pPr>
              <w:spacing w:after="0"/>
            </w:pPr>
            <w:r>
              <w:rPr>
                <w:rFonts w:ascii="Arial" w:hAnsi="Arial" w:eastAsia="Arial"/>
                <w:sz w:val="15"/>
              </w:rPr>
              <w:t>Proceed to targeted repairs and Module 1 prototype build after high-priority items are resolved.</w:t>
            </w:r>
          </w:p>
        </w:tc>
        <w:tc>
          <w:tcPr>
            <w:tcW w:type="dxa" w:w="1584"/>
            <w:vAlign w:val="top"/>
          </w:tcPr>
          <w:p>
            <w:pPr>
              <w:spacing w:after="0"/>
            </w:pPr>
            <w:r>
              <w:rPr>
                <w:rFonts w:ascii="Arial" w:hAnsi="Arial" w:eastAsia="Arial"/>
                <w:sz w:val="15"/>
              </w:rPr>
              <w:t>Conditional go</w:t>
            </w:r>
          </w:p>
        </w:tc>
      </w:tr>
    </w:tbl>
    <w:p/>
    <w:p>
      <w:pPr>
        <w:pStyle w:val="Heading1"/>
      </w:pPr>
      <w:r>
        <w:t>10. Acceptance criteria for the next step</w:t>
      </w:r>
    </w:p>
    <w:p>
      <w:pPr>
        <w:pStyle w:val="ListBullet"/>
      </w:pPr>
      <w:r>
        <w:t>Module 1 has an explicit launch/cover state before the welcome video or an accepted workaround documented.</w:t>
      </w:r>
    </w:p>
    <w:p>
      <w:pPr>
        <w:pStyle w:val="ListBullet"/>
      </w:pPr>
      <w:r>
        <w:t>The reusable Help Overlay and Accessibility modal are specified as player-shell components, not ordinary lesson content.</w:t>
      </w:r>
    </w:p>
    <w:p>
      <w:pPr>
        <w:pStyle w:val="ListBullet"/>
      </w:pPr>
      <w:r>
        <w:t>The return-to-platform state is specified with completion checkmark, progress saved message, Continue to Module 2 CTA, and Review Module 1 option.</w:t>
      </w:r>
    </w:p>
    <w:p>
      <w:pPr>
        <w:pStyle w:val="ListBullet"/>
      </w:pPr>
      <w:r>
        <w:t>Learning objectives are mapped to CSO capacity area, CSO practice, HRBA principle, K/S route, assessment item, and portfolio/practical output.</w:t>
      </w:r>
    </w:p>
    <w:p>
      <w:pPr>
        <w:pStyle w:val="ListBullet"/>
      </w:pPr>
      <w:r>
        <w:t>A course/module-level story disclaimer is defined, and story titles read naturally.</w:t>
      </w:r>
    </w:p>
    <w:p>
      <w:pPr>
        <w:pStyle w:val="ListBullet"/>
      </w:pPr>
      <w:r>
        <w:t>All Module 1 asset placeholders have final prompts, filenames, alt text, and fallback text.</w:t>
      </w:r>
    </w:p>
    <w:p>
      <w:pPr>
        <w:pStyle w:val="ListBullet"/>
      </w:pPr>
      <w:r>
        <w:t>All interactions have deterministic state logic, feedback, retry rules, completion rules, and keyboard/tap alternatives.</w:t>
      </w:r>
    </w:p>
    <w:p>
      <w:pPr>
        <w:pStyle w:val="ListBullet"/>
      </w:pPr>
      <w:r>
        <w:t>Private portfolio and self-assessment data are private by default and not passed to AI.</w:t>
      </w:r>
    </w:p>
    <w:p>
      <w:pPr>
        <w:pStyle w:val="ListBullet"/>
      </w:pPr>
      <w:r>
        <w:t>Module 1 remains flexible in screen count; no forced 26-screen rule is applied.</w:t>
      </w:r>
    </w:p>
    <w:p>
      <w:pPr>
        <w:pStyle w:val="ListBullet"/>
      </w:pPr>
      <w:r>
        <w:t>Build package is ready for Module 1 prototype creation.</w:t>
      </w:r>
    </w:p>
    <w:p>
      <w:pPr>
        <w:pStyle w:val="Heading1"/>
      </w:pPr>
      <w:r>
        <w:t>11. Recommended next implementation action</w:t>
      </w:r>
    </w:p>
    <w:p>
      <w:r>
        <w:t>Proceed to create the Module 1 Targeted Repair Package. This package should include: (1) the cover/help/completion shell state definitions, (2) the objective-capacity-assessment map, (3) the story/scenario register, (4) the visual asset prompt and filename register, (5) the interaction state registry, and (6) the updated Module 1 build handoff.</w:t>
      </w:r>
    </w:p>
    <w:p/>
    <w:p>
      <w:pPr>
        <w:jc w:val="center"/>
      </w:pPr>
      <w:r>
        <w:rPr>
          <w:i/>
          <w:color w:val="6B7280"/>
        </w:rPr>
        <w:t>End of Module 1 Improvement Report and Targeted Repair Plan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B99D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