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Yazılım Mimarileri ve Tasarım Yöntemleri Dersi</w:t>
      </w:r>
    </w:p>
    <w:p>
      <w:pPr>
        <w:jc w:val="center"/>
      </w:pPr>
      <w:r>
        <w:rPr>
          <w:rFonts w:ascii="Calibri" w:hAnsi="Calibri"/>
          <w:b/>
          <w:sz w:val="36"/>
        </w:rPr>
        <w:t>Dönem Projesi Teknik Raporu</w:t>
      </w:r>
    </w:p>
    <w:p>
      <w:pPr>
        <w:jc w:val="center"/>
      </w:pPr>
      <w:r>
        <w:rPr>
          <w:rFonts w:ascii="Calibri" w:hAnsi="Calibri"/>
          <w:b/>
          <w:sz w:val="30"/>
        </w:rPr>
        <w:t>QMOOD Tabanlı Yazılım Kalitesi Analizi ve LLM Destekli Değerlendirme</w:t>
      </w:r>
    </w:p>
    <w:p>
      <w:pPr>
        <w:jc w:val="center"/>
      </w:pPr>
      <w:r>
        <w:rPr>
          <w:rFonts w:ascii="Calibri" w:hAnsi="Calibri"/>
          <w:b/>
          <w:sz w:val="28"/>
        </w:rPr>
        <w:t>İncelenen Proje: picocli</w:t>
      </w:r>
    </w:p>
    <w:p/>
    <w:p/>
    <w:p/>
    <w:p/>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
              <w:rPr>
                <w:b/>
                <w:sz w:val="20"/>
              </w:rPr>
              <w:t>Hazırlayan</w:t>
            </w:r>
          </w:p>
        </w:tc>
        <w:tc>
          <w:tcPr>
            <w:tcW w:type="dxa" w:w="5112"/>
          </w:tcPr>
          <w:p>
            <w:pPr>
              <w:jc w:val="center"/>
            </w:pPr>
            <w:r/>
            <w:r>
              <w:rPr>
                <w:b w:val="0"/>
                <w:sz w:val="20"/>
              </w:rPr>
              <w:t>[Ad Soyad / Grup Üyeleri]</w:t>
            </w:r>
          </w:p>
        </w:tc>
      </w:tr>
      <w:tr>
        <w:tc>
          <w:tcPr>
            <w:tcW w:type="dxa" w:w="5112"/>
          </w:tcPr>
          <w:p>
            <w:pPr>
              <w:jc w:val="center"/>
            </w:pPr>
            <w:r/>
            <w:r>
              <w:rPr>
                <w:b/>
                <w:sz w:val="20"/>
              </w:rPr>
              <w:t>Ders</w:t>
            </w:r>
          </w:p>
        </w:tc>
        <w:tc>
          <w:tcPr>
            <w:tcW w:type="dxa" w:w="5112"/>
          </w:tcPr>
          <w:p>
            <w:pPr>
              <w:jc w:val="center"/>
            </w:pPr>
            <w:r/>
            <w:r>
              <w:rPr>
                <w:b w:val="0"/>
                <w:sz w:val="20"/>
              </w:rPr>
              <w:t>Yazılım Mimarileri ve Tasarım Yöntemleri</w:t>
            </w:r>
          </w:p>
        </w:tc>
      </w:tr>
      <w:tr>
        <w:tc>
          <w:tcPr>
            <w:tcW w:type="dxa" w:w="5112"/>
          </w:tcPr>
          <w:p>
            <w:pPr>
              <w:jc w:val="center"/>
            </w:pPr>
            <w:r/>
            <w:r>
              <w:rPr>
                <w:b/>
                <w:sz w:val="20"/>
              </w:rPr>
              <w:t>Analiz Edilen Sürüm Sayısı</w:t>
            </w:r>
          </w:p>
        </w:tc>
        <w:tc>
          <w:tcPr>
            <w:tcW w:type="dxa" w:w="5112"/>
          </w:tcPr>
          <w:p>
            <w:pPr>
              <w:jc w:val="center"/>
            </w:pPr>
            <w:r/>
            <w:r>
              <w:rPr>
                <w:b w:val="0"/>
                <w:sz w:val="20"/>
              </w:rPr>
              <w:t>10</w:t>
            </w:r>
          </w:p>
        </w:tc>
      </w:tr>
      <w:tr>
        <w:tc>
          <w:tcPr>
            <w:tcW w:type="dxa" w:w="5112"/>
          </w:tcPr>
          <w:p>
            <w:pPr>
              <w:jc w:val="center"/>
            </w:pPr>
            <w:r/>
            <w:r>
              <w:rPr>
                <w:b/>
                <w:sz w:val="20"/>
              </w:rPr>
              <w:t>Kullanılan Ana Araçlar</w:t>
            </w:r>
          </w:p>
        </w:tc>
        <w:tc>
          <w:tcPr>
            <w:tcW w:type="dxa" w:w="5112"/>
          </w:tcPr>
          <w:p>
            <w:pPr>
              <w:jc w:val="center"/>
            </w:pPr>
            <w:r/>
            <w:r>
              <w:rPr>
                <w:b w:val="0"/>
                <w:sz w:val="20"/>
              </w:rPr>
              <w:t>CK Tool, Python, Pandas, Matplotlib</w:t>
            </w:r>
          </w:p>
        </w:tc>
      </w:tr>
      <w:tr>
        <w:tc>
          <w:tcPr>
            <w:tcW w:type="dxa" w:w="5112"/>
          </w:tcPr>
          <w:p>
            <w:pPr>
              <w:jc w:val="center"/>
            </w:pPr>
            <w:r/>
            <w:r>
              <w:rPr>
                <w:b/>
                <w:sz w:val="20"/>
              </w:rPr>
              <w:t>Rapor Durumu</w:t>
            </w:r>
          </w:p>
        </w:tc>
        <w:tc>
          <w:tcPr>
            <w:tcW w:type="dxa" w:w="5112"/>
          </w:tcPr>
          <w:p>
            <w:pPr>
              <w:jc w:val="center"/>
            </w:pPr>
            <w:r/>
            <w:r>
              <w:rPr>
                <w:b w:val="0"/>
                <w:sz w:val="20"/>
              </w:rPr>
              <w:t>QMOOD analizi tamamlandı; LLM değerlendirme bölümü için prompt ve rubrik taslağı eklendi</w:t>
            </w:r>
          </w:p>
        </w:tc>
      </w:tr>
    </w:tbl>
    <w:p>
      <w:r>
        <w:rPr>
          <w:rFonts w:ascii="Calibri" w:hAnsi="Calibri"/>
        </w:rPr>
        <w:br w:type="page"/>
      </w:r>
    </w:p>
    <w:p>
      <w:pPr>
        <w:pStyle w:val="Heading1"/>
      </w:pPr>
      <w:r>
        <w:rPr>
          <w:rFonts w:ascii="Calibri" w:hAnsi="Calibri"/>
        </w:rPr>
        <w:t>Özet</w:t>
      </w:r>
    </w:p>
    <w:p>
      <w:r>
        <w:rPr>
          <w:rFonts w:ascii="Calibri" w:hAnsi="Calibri"/>
        </w:rPr>
        <w:t>Bu çalışmada açık kaynak kodlu Java tabanlı picocli projesinin 10 farklı sürümü üzerinde nesneye dayalı yazılım metrikleri çıkarılmış, bu metrikler QMOOD kalite modeli kapsamında tasarım özelliklerine ve kalite niteliklerine dönüştürülmüştür. İncelenen sürümler v4.0.4 ile v4.7.7 arasındadır. Analiz sürecinde CK Tool ile class-level ve method-level metrikler çıkarılmış; ardından Python kullanılarak sürüm bazlı özet metrikler, normalize QMOOD skorları ve grafikler üretilmiştir.</w:t>
      </w:r>
    </w:p>
    <w:p>
      <w:r>
        <w:rPr>
          <w:rFonts w:ascii="Calibri" w:hAnsi="Calibri"/>
        </w:rPr>
        <w:t>Sonuçlara göre picocli projesinin sınıf sayısı 192’den 219’a, metot sayısı 1517’den 1848’e yükselmiştir. Toplam kalite indeksi (TQI) v4.0.4 sürümünde 4.0100 iken v4.7.7 sürümünde 4.1015 olarak hesaplanmıştır. Bu yaklaşık %2.28 düzeyinde bir artışa karşılık gelmektedir. Reusability, flexibility, functionality ve effectiveness nitelikleri artarken understandability değerinde düşüş gözlenmiştir. Bu durum yazılımın işlevsel olarak genişlediğini, ancak büyümeye bağlı karmaşıklık ve cohesion risklerinin izlenmesi gerektiğini göstermektedir.</w:t>
      </w:r>
    </w:p>
    <w:p>
      <w:pPr>
        <w:pStyle w:val="Heading1"/>
      </w:pPr>
      <w:r>
        <w:rPr>
          <w:rFonts w:ascii="Calibri" w:hAnsi="Calibri"/>
        </w:rPr>
        <w:t>İçindekiler</w:t>
      </w:r>
    </w:p>
    <w:p>
      <w:pPr>
        <w:pStyle w:val="ListNumber"/>
      </w:pPr>
      <w:r>
        <w:rPr>
          <w:rFonts w:ascii="Calibri" w:hAnsi="Calibri"/>
        </w:rPr>
        <w:t>1. Giriş</w:t>
      </w:r>
    </w:p>
    <w:p>
      <w:pPr>
        <w:pStyle w:val="ListNumber"/>
      </w:pPr>
      <w:r>
        <w:rPr>
          <w:rFonts w:ascii="Calibri" w:hAnsi="Calibri"/>
        </w:rPr>
        <w:t>2. Literatür Özeti</w:t>
      </w:r>
    </w:p>
    <w:p>
      <w:pPr>
        <w:pStyle w:val="ListNumber"/>
      </w:pPr>
      <w:r>
        <w:rPr>
          <w:rFonts w:ascii="Calibri" w:hAnsi="Calibri"/>
        </w:rPr>
        <w:t>3. Yöntem</w:t>
      </w:r>
    </w:p>
    <w:p>
      <w:pPr>
        <w:pStyle w:val="ListNumber"/>
      </w:pPr>
      <w:r>
        <w:rPr>
          <w:rFonts w:ascii="Calibri" w:hAnsi="Calibri"/>
        </w:rPr>
        <w:t>4. Analiz Süreci</w:t>
      </w:r>
    </w:p>
    <w:p>
      <w:pPr>
        <w:pStyle w:val="ListNumber"/>
      </w:pPr>
      <w:r>
        <w:rPr>
          <w:rFonts w:ascii="Calibri" w:hAnsi="Calibri"/>
        </w:rPr>
        <w:t>5. Sonuçlar</w:t>
      </w:r>
    </w:p>
    <w:p>
      <w:pPr>
        <w:pStyle w:val="ListNumber"/>
      </w:pPr>
      <w:r>
        <w:rPr>
          <w:rFonts w:ascii="Calibri" w:hAnsi="Calibri"/>
        </w:rPr>
        <w:t>6. Tartışma</w:t>
      </w:r>
    </w:p>
    <w:p>
      <w:pPr>
        <w:pStyle w:val="ListNumber"/>
      </w:pPr>
      <w:r>
        <w:rPr>
          <w:rFonts w:ascii="Calibri" w:hAnsi="Calibri"/>
        </w:rPr>
        <w:t>6.5. LLM Çıktılarının Karşılaştırmalı Analizi</w:t>
      </w:r>
    </w:p>
    <w:p>
      <w:pPr>
        <w:pStyle w:val="ListNumber"/>
      </w:pPr>
      <w:r>
        <w:t>6.6. Prompt 2 ile Yapılandırılmış LLM Değerlendirmesi</w:t>
      </w:r>
    </w:p>
    <w:p>
      <w:pPr>
        <w:pStyle w:val="ListNumber"/>
      </w:pPr>
      <w:r>
        <w:t>6.7. v4.7.7 Sınıf Düzeyi Risk Analizi</w:t>
      </w:r>
    </w:p>
    <w:p>
      <w:pPr>
        <w:pStyle w:val="ListNumber"/>
      </w:pPr>
      <w:r>
        <w:rPr>
          <w:rFonts w:ascii="Calibri" w:hAnsi="Calibri"/>
        </w:rPr>
        <w:t>7. Sonuç ve Gelecek Çalışmalar</w:t>
      </w:r>
    </w:p>
    <w:p>
      <w:pPr>
        <w:pStyle w:val="ListNumber"/>
      </w:pPr>
      <w:r>
        <w:rPr>
          <w:rFonts w:ascii="Calibri" w:hAnsi="Calibri"/>
        </w:rPr>
        <w:t>Ek A. LLM Promptları ve Değerlendirme Rubriği</w:t>
      </w:r>
    </w:p>
    <w:p>
      <w:pPr>
        <w:pStyle w:val="ListNumber"/>
      </w:pPr>
      <w:r>
        <w:rPr>
          <w:rFonts w:ascii="Calibri" w:hAnsi="Calibri"/>
        </w:rPr>
        <w:t>Kaynakça</w:t>
      </w:r>
    </w:p>
    <w:p>
      <w:r>
        <w:rPr>
          <w:rFonts w:ascii="Calibri" w:hAnsi="Calibri"/>
        </w:rPr>
        <w:br w:type="page"/>
      </w:r>
    </w:p>
    <w:p>
      <w:pPr>
        <w:pStyle w:val="Heading1"/>
      </w:pPr>
      <w:r>
        <w:rPr>
          <w:rFonts w:ascii="Calibri" w:hAnsi="Calibri"/>
        </w:rPr>
        <w:t>1. Giriş</w:t>
      </w:r>
    </w:p>
    <w:p>
      <w:r>
        <w:rPr>
          <w:rFonts w:ascii="Calibri" w:hAnsi="Calibri"/>
        </w:rPr>
        <w:t>Yazılım sistemleri zaman içinde yeni gereksinimler, hata düzeltmeleri ve tasarım kararları nedeniyle evrilir. Bu evrim sürecinde yazılımın işlevselliği artarken tasarım karmaşıklığı, sınıflar arası bağımlılık ve bakım maliyeti de artabilir. Bu nedenle yazılım mimarisi ve tasarım kalitesi yalnızca sezgisel olarak değil, ölçülebilir metrikler üzerinden de değerlendirilmelidir.</w:t>
      </w:r>
    </w:p>
    <w:p>
      <w:r>
        <w:rPr>
          <w:rFonts w:ascii="Calibri" w:hAnsi="Calibri"/>
        </w:rPr>
        <w:t>Bu raporun amacı, picocli adlı açık kaynaklı Java projesinin seçilen 10 sürümünde nesneye dayalı tasarım metriklerini incelemek, QMOOD kalite modeline göre kalite niteliklerini hesaplamak ve yazılımın sürümler arasındaki kalite evrimini yorumlamaktır. Çalışma ayrıca LLM destekli kalite değerlendirmesi için kullanılacak prompt yapısını ve değerlendirme rubriğini de içermektedir.</w:t>
      </w:r>
    </w:p>
    <w:p>
      <w:pPr>
        <w:pStyle w:val="Heading1"/>
      </w:pPr>
      <w:r>
        <w:rPr>
          <w:rFonts w:ascii="Calibri" w:hAnsi="Calibri"/>
        </w:rPr>
        <w:t>2. Literatür Özeti</w:t>
      </w:r>
    </w:p>
    <w:p>
      <w:pPr>
        <w:pStyle w:val="Heading2"/>
      </w:pPr>
      <w:r>
        <w:rPr>
          <w:rFonts w:ascii="Calibri" w:hAnsi="Calibri"/>
        </w:rPr>
        <w:t>2.1. Yazılım Metrikleri</w:t>
      </w:r>
    </w:p>
    <w:p>
      <w:r>
        <w:rPr>
          <w:rFonts w:ascii="Calibri" w:hAnsi="Calibri"/>
        </w:rPr>
        <w:t>Yazılım metrikleri, yazılım ürünlerinin ölçülebilen alt düzey niteliklerini ifade eder. Bu çalışmada odak, doğrudan kaynak koddan elde edilebilen statik tasarım metrikleridir. Statik metrikler program çalıştırılmadan elde edilir; örneğin sınıf sayısı, metot sayısı, bağımlılık ve kalıtım derinliği gibi ölçüler bu kapsamdadır.</w:t>
      </w:r>
    </w:p>
    <w:p>
      <w:pPr>
        <w:pStyle w:val="Heading2"/>
      </w:pPr>
      <w:r>
        <w:rPr>
          <w:rFonts w:ascii="Calibri" w:hAnsi="Calibri"/>
        </w:rPr>
        <w:t>2.2. CK Metrik Kümesi</w:t>
      </w:r>
    </w:p>
    <w:p>
      <w:r>
        <w:rPr>
          <w:rFonts w:ascii="Calibri" w:hAnsi="Calibri"/>
        </w:rPr>
        <w:t>Chidamber ve Kemerer tarafından önerilen CK metrik kümesi, nesneye dayalı yazılımlarda özellikle karmaşıklık, kalıtım, coupling ve cohesion gibi tasarım özelliklerinin ölçülmesinde kullanılan temel metrik kümelerinden biridir. Bu çalışmada CK Tool tarafından üretilen CBO, WMC, DIT, RFC ve LCOM gibi metriklerden yararlanılmıştır.</w:t>
      </w:r>
    </w:p>
    <w:p>
      <w:pPr>
        <w:pStyle w:val="Heading2"/>
      </w:pPr>
      <w:r>
        <w:rPr>
          <w:rFonts w:ascii="Calibri" w:hAnsi="Calibri"/>
        </w:rPr>
        <w:t>2.3. QMOOD Kalite Modeli</w:t>
      </w:r>
    </w:p>
    <w:p>
      <w:r>
        <w:rPr>
          <w:rFonts w:ascii="Calibri" w:hAnsi="Calibri"/>
        </w:rPr>
        <w:t>QMOOD (Quality Model for Object-Oriented Design), nesneye dayalı tasarım kalitesini hiyerarşik bir modelle değerlendirir. Modelde L4 düzeyinde tasarım bileşenleri, L3 düzeyinde tasarım metrikleri, L2 düzeyinde nesneye dayalı tasarım özellikleri ve L1 düzeyinde tasarım kalite nitelikleri yer alır. Bu yapı, düşük düzeyli metrikleri üst düzey kalite nitelikleriyle ilişkilendirmeyi amaçlar.</w:t>
      </w:r>
    </w:p>
    <w:p>
      <w:r>
        <w:rPr>
          <w:rFonts w:ascii="Calibri" w:hAnsi="Calibri"/>
        </w:rPr>
        <w:t>QMOOD kapsamında kullanılan kalite nitelikleri reusability, flexibility, understandability, functionality, extendibility ve effectiveness olarak ele alınmıştır. Bu nitelikler, normalize edilmiş tasarım özelliklerinin ağırlıklı toplamları ile hesaplanmıştır. Son aşamada bu altı kalite niteliği toplanarak Total Quality Index (TQI) değeri elde edilmiştir.</w:t>
      </w:r>
    </w:p>
    <w:p>
      <w:pPr>
        <w:pStyle w:val="Heading1"/>
      </w:pPr>
      <w:r>
        <w:rPr>
          <w:rFonts w:ascii="Calibri" w:hAnsi="Calibri"/>
        </w:rPr>
        <w:t>3. Yöntem</w:t>
      </w:r>
    </w:p>
    <w:p>
      <w:pPr>
        <w:pStyle w:val="Heading2"/>
      </w:pPr>
      <w:r>
        <w:rPr>
          <w:rFonts w:ascii="Calibri" w:hAnsi="Calibri"/>
        </w:rPr>
        <w:t>3.1. Seçilen Yazılım Sistemi</w:t>
      </w:r>
    </w:p>
    <w:p>
      <w:r>
        <w:rPr>
          <w:rFonts w:ascii="Calibri" w:hAnsi="Calibri"/>
        </w:rPr>
        <w:t>Analiz için Java tabanlı açık kaynak bir komut satırı arayüzü kütüphanesi olan picocli seçilmiştir. Projenin çok sayıda sürüme sahip olması, Java ile geliştirilmiş olması ve statik analiz araçlarıyla incelenebilir olması nedeniyle QMOOD tabanlı sürüm analizi için uygun olduğu değerlendirilmiştir.</w:t>
      </w:r>
    </w:p>
    <w:p>
      <w:pPr>
        <w:pStyle w:val="Heading2"/>
      </w:pPr>
      <w:r>
        <w:rPr>
          <w:rFonts w:ascii="Calibri" w:hAnsi="Calibri"/>
        </w:rPr>
        <w:t>3.2. İncelenen Sürümler</w:t>
      </w:r>
    </w:p>
    <w:p>
      <w:r>
        <w:rPr>
          <w:rFonts w:ascii="Calibri" w:hAnsi="Calibri"/>
          <w:b/>
        </w:rPr>
        <w:t>Tablo 1. İncelenen picocli sürümleri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pPr>
              <w:jc w:val="center"/>
            </w:pPr>
            <w:r/>
            <w:r>
              <w:rPr>
                <w:b/>
                <w:sz w:val="18"/>
              </w:rPr>
              <w:t>Sıra</w:t>
            </w:r>
          </w:p>
        </w:tc>
        <w:tc>
          <w:tcPr>
            <w:tcW w:type="dxa" w:w="5112"/>
            <w:shd w:fill="D9EAF7"/>
            <w:vAlign w:val="center"/>
          </w:tcPr>
          <w:p>
            <w:pPr>
              <w:jc w:val="center"/>
            </w:pPr>
            <w:r/>
            <w:r>
              <w:rPr>
                <w:b/>
                <w:sz w:val="18"/>
              </w:rPr>
              <w:t>Sürüm</w:t>
            </w:r>
          </w:p>
        </w:tc>
      </w:tr>
      <w:tr>
        <w:tc>
          <w:tcPr>
            <w:tcW w:type="dxa" w:w="5112"/>
            <w:vAlign w:val="center"/>
          </w:tcPr>
          <w:p>
            <w:pPr>
              <w:jc w:val="center"/>
            </w:pPr>
            <w:r/>
            <w:r>
              <w:rPr>
                <w:b w:val="0"/>
                <w:sz w:val="18"/>
              </w:rPr>
              <w:t>1</w:t>
            </w:r>
          </w:p>
        </w:tc>
        <w:tc>
          <w:tcPr>
            <w:tcW w:type="dxa" w:w="5112"/>
            <w:vAlign w:val="center"/>
          </w:tcPr>
          <w:p>
            <w:pPr>
              <w:jc w:val="center"/>
            </w:pPr>
            <w:r/>
            <w:r>
              <w:rPr>
                <w:b w:val="0"/>
                <w:sz w:val="18"/>
              </w:rPr>
              <w:t>v4.0.4</w:t>
            </w:r>
          </w:p>
        </w:tc>
      </w:tr>
      <w:tr>
        <w:tc>
          <w:tcPr>
            <w:tcW w:type="dxa" w:w="5112"/>
            <w:vAlign w:val="center"/>
          </w:tcPr>
          <w:p>
            <w:pPr>
              <w:jc w:val="center"/>
            </w:pPr>
            <w:r/>
            <w:r>
              <w:rPr>
                <w:b w:val="0"/>
                <w:sz w:val="18"/>
              </w:rPr>
              <w:t>2</w:t>
            </w:r>
          </w:p>
        </w:tc>
        <w:tc>
          <w:tcPr>
            <w:tcW w:type="dxa" w:w="5112"/>
            <w:vAlign w:val="center"/>
          </w:tcPr>
          <w:p>
            <w:pPr>
              <w:jc w:val="center"/>
            </w:pPr>
            <w:r/>
            <w:r>
              <w:rPr>
                <w:b w:val="0"/>
                <w:sz w:val="18"/>
              </w:rPr>
              <w:t>v4.1.0</w:t>
            </w:r>
          </w:p>
        </w:tc>
      </w:tr>
      <w:tr>
        <w:tc>
          <w:tcPr>
            <w:tcW w:type="dxa" w:w="5112"/>
            <w:vAlign w:val="center"/>
          </w:tcPr>
          <w:p>
            <w:pPr>
              <w:jc w:val="center"/>
            </w:pPr>
            <w:r/>
            <w:r>
              <w:rPr>
                <w:b w:val="0"/>
                <w:sz w:val="18"/>
              </w:rPr>
              <w:t>3</w:t>
            </w:r>
          </w:p>
        </w:tc>
        <w:tc>
          <w:tcPr>
            <w:tcW w:type="dxa" w:w="5112"/>
            <w:vAlign w:val="center"/>
          </w:tcPr>
          <w:p>
            <w:pPr>
              <w:jc w:val="center"/>
            </w:pPr>
            <w:r/>
            <w:r>
              <w:rPr>
                <w:b w:val="0"/>
                <w:sz w:val="18"/>
              </w:rPr>
              <w:t>v4.1.4</w:t>
            </w:r>
          </w:p>
        </w:tc>
      </w:tr>
      <w:tr>
        <w:tc>
          <w:tcPr>
            <w:tcW w:type="dxa" w:w="5112"/>
            <w:vAlign w:val="center"/>
          </w:tcPr>
          <w:p>
            <w:pPr>
              <w:jc w:val="center"/>
            </w:pPr>
            <w:r/>
            <w:r>
              <w:rPr>
                <w:b w:val="0"/>
                <w:sz w:val="18"/>
              </w:rPr>
              <w:t>4</w:t>
            </w:r>
          </w:p>
        </w:tc>
        <w:tc>
          <w:tcPr>
            <w:tcW w:type="dxa" w:w="5112"/>
            <w:vAlign w:val="center"/>
          </w:tcPr>
          <w:p>
            <w:pPr>
              <w:jc w:val="center"/>
            </w:pPr>
            <w:r/>
            <w:r>
              <w:rPr>
                <w:b w:val="0"/>
                <w:sz w:val="18"/>
              </w:rPr>
              <w:t>v4.2.0</w:t>
            </w:r>
          </w:p>
        </w:tc>
      </w:tr>
      <w:tr>
        <w:tc>
          <w:tcPr>
            <w:tcW w:type="dxa" w:w="5112"/>
            <w:vAlign w:val="center"/>
          </w:tcPr>
          <w:p>
            <w:pPr>
              <w:jc w:val="center"/>
            </w:pPr>
            <w:r/>
            <w:r>
              <w:rPr>
                <w:b w:val="0"/>
                <w:sz w:val="18"/>
              </w:rPr>
              <w:t>5</w:t>
            </w:r>
          </w:p>
        </w:tc>
        <w:tc>
          <w:tcPr>
            <w:tcW w:type="dxa" w:w="5112"/>
            <w:vAlign w:val="center"/>
          </w:tcPr>
          <w:p>
            <w:pPr>
              <w:jc w:val="center"/>
            </w:pPr>
            <w:r/>
            <w:r>
              <w:rPr>
                <w:b w:val="0"/>
                <w:sz w:val="18"/>
              </w:rPr>
              <w:t>v4.3.0</w:t>
            </w:r>
          </w:p>
        </w:tc>
      </w:tr>
      <w:tr>
        <w:tc>
          <w:tcPr>
            <w:tcW w:type="dxa" w:w="5112"/>
            <w:vAlign w:val="center"/>
          </w:tcPr>
          <w:p>
            <w:pPr>
              <w:jc w:val="center"/>
            </w:pPr>
            <w:r/>
            <w:r>
              <w:rPr>
                <w:b w:val="0"/>
                <w:sz w:val="18"/>
              </w:rPr>
              <w:t>6</w:t>
            </w:r>
          </w:p>
        </w:tc>
        <w:tc>
          <w:tcPr>
            <w:tcW w:type="dxa" w:w="5112"/>
            <w:vAlign w:val="center"/>
          </w:tcPr>
          <w:p>
            <w:pPr>
              <w:jc w:val="center"/>
            </w:pPr>
            <w:r/>
            <w:r>
              <w:rPr>
                <w:b w:val="0"/>
                <w:sz w:val="18"/>
              </w:rPr>
              <w:t>v4.3.2</w:t>
            </w:r>
          </w:p>
        </w:tc>
      </w:tr>
      <w:tr>
        <w:tc>
          <w:tcPr>
            <w:tcW w:type="dxa" w:w="5112"/>
            <w:vAlign w:val="center"/>
          </w:tcPr>
          <w:p>
            <w:pPr>
              <w:jc w:val="center"/>
            </w:pPr>
            <w:r/>
            <w:r>
              <w:rPr>
                <w:b w:val="0"/>
                <w:sz w:val="18"/>
              </w:rPr>
              <w:t>7</w:t>
            </w:r>
          </w:p>
        </w:tc>
        <w:tc>
          <w:tcPr>
            <w:tcW w:type="dxa" w:w="5112"/>
            <w:vAlign w:val="center"/>
          </w:tcPr>
          <w:p>
            <w:pPr>
              <w:jc w:val="center"/>
            </w:pPr>
            <w:r/>
            <w:r>
              <w:rPr>
                <w:b w:val="0"/>
                <w:sz w:val="18"/>
              </w:rPr>
              <w:t>v4.4.0</w:t>
            </w:r>
          </w:p>
        </w:tc>
      </w:tr>
      <w:tr>
        <w:tc>
          <w:tcPr>
            <w:tcW w:type="dxa" w:w="5112"/>
            <w:vAlign w:val="center"/>
          </w:tcPr>
          <w:p>
            <w:pPr>
              <w:jc w:val="center"/>
            </w:pPr>
            <w:r/>
            <w:r>
              <w:rPr>
                <w:b w:val="0"/>
                <w:sz w:val="18"/>
              </w:rPr>
              <w:t>8</w:t>
            </w:r>
          </w:p>
        </w:tc>
        <w:tc>
          <w:tcPr>
            <w:tcW w:type="dxa" w:w="5112"/>
            <w:vAlign w:val="center"/>
          </w:tcPr>
          <w:p>
            <w:pPr>
              <w:jc w:val="center"/>
            </w:pPr>
            <w:r/>
            <w:r>
              <w:rPr>
                <w:b w:val="0"/>
                <w:sz w:val="18"/>
              </w:rPr>
              <w:t>v4.5.2</w:t>
            </w:r>
          </w:p>
        </w:tc>
      </w:tr>
      <w:tr>
        <w:tc>
          <w:tcPr>
            <w:tcW w:type="dxa" w:w="5112"/>
            <w:vAlign w:val="center"/>
          </w:tcPr>
          <w:p>
            <w:pPr>
              <w:jc w:val="center"/>
            </w:pPr>
            <w:r/>
            <w:r>
              <w:rPr>
                <w:b w:val="0"/>
                <w:sz w:val="18"/>
              </w:rPr>
              <w:t>9</w:t>
            </w:r>
          </w:p>
        </w:tc>
        <w:tc>
          <w:tcPr>
            <w:tcW w:type="dxa" w:w="5112"/>
            <w:vAlign w:val="center"/>
          </w:tcPr>
          <w:p>
            <w:pPr>
              <w:jc w:val="center"/>
            </w:pPr>
            <w:r/>
            <w:r>
              <w:rPr>
                <w:b w:val="0"/>
                <w:sz w:val="18"/>
              </w:rPr>
              <w:t>v4.6.3</w:t>
            </w:r>
          </w:p>
        </w:tc>
      </w:tr>
      <w:tr>
        <w:tc>
          <w:tcPr>
            <w:tcW w:type="dxa" w:w="5112"/>
            <w:vAlign w:val="center"/>
          </w:tcPr>
          <w:p>
            <w:pPr>
              <w:jc w:val="center"/>
            </w:pPr>
            <w:r/>
            <w:r>
              <w:rPr>
                <w:b w:val="0"/>
                <w:sz w:val="18"/>
              </w:rPr>
              <w:t>10</w:t>
            </w:r>
          </w:p>
        </w:tc>
        <w:tc>
          <w:tcPr>
            <w:tcW w:type="dxa" w:w="5112"/>
            <w:vAlign w:val="center"/>
          </w:tcPr>
          <w:p>
            <w:pPr>
              <w:jc w:val="center"/>
            </w:pPr>
            <w:r/>
            <w:r>
              <w:rPr>
                <w:b w:val="0"/>
                <w:sz w:val="18"/>
              </w:rPr>
              <w:t>v4.7.7</w:t>
            </w:r>
          </w:p>
        </w:tc>
      </w:tr>
    </w:tbl>
    <w:p/>
    <w:p>
      <w:pPr>
        <w:pStyle w:val="Heading2"/>
      </w:pPr>
      <w:r>
        <w:rPr>
          <w:rFonts w:ascii="Calibri" w:hAnsi="Calibri"/>
        </w:rPr>
        <w:t>3.3. Metrik Çıkarım Süreci</w:t>
      </w:r>
    </w:p>
    <w:p>
      <w:r>
        <w:rPr>
          <w:rFonts w:ascii="Calibri" w:hAnsi="Calibri"/>
        </w:rPr>
        <w:t>Her sürümün kaynak kodu ayrı klasöre çıkarılmış ve yalnızca src/main/java dizini analiz edilmiştir. Test kodları, örnek projeler, dokümantasyon ve build çıktıları analize dahil edilmemiştir. Metrik çıkarımı CK Tool ile yapılmış, her sürüm için class.csv ve method.csv dosyaları oluşturulmuştur.</w:t>
      </w:r>
    </w:p>
    <w:p>
      <w:r>
        <w:rPr>
          <w:rFonts w:ascii="Calibri" w:hAnsi="Calibri"/>
        </w:rPr>
        <w:t>Ham metriklerden sürüm bazlı özet tablolar üretilmiştir. Bu özetlerde sınıf sayısı, metot sayısı, ortalama CBO, ortalama WMC, ortalama DIT, ortalama RFC, ortalama LCOM ve DAM değeri kullanılmıştır.</w:t>
      </w:r>
    </w:p>
    <w:p>
      <w:pPr>
        <w:pStyle w:val="Heading2"/>
      </w:pPr>
      <w:r>
        <w:rPr>
          <w:rFonts w:ascii="Calibri" w:hAnsi="Calibri"/>
        </w:rPr>
        <w:t>3.4. QMOOD Tasarım Özelliklerine Dönüşüm</w:t>
      </w:r>
    </w:p>
    <w:p>
      <w:r>
        <w:rPr>
          <w:rFonts w:ascii="Calibri" w:hAnsi="Calibri"/>
        </w:rPr>
        <w:t>CK Tool çıktıları QMOOD’un özgün metriklerinin tamamını doğrudan sağlamadığı için bazı tasarım özellikleri için vekil metrikler kullanılmıştır. Bu durum çalışmanın sınırlılığı olarak değerlendirilmiş ve aşağıdaki tabloda açıkça belirtilmiştir.</w:t>
      </w:r>
    </w:p>
    <w:p>
      <w:r>
        <w:rPr>
          <w:rFonts w:ascii="Calibri" w:hAnsi="Calibri"/>
          <w:b/>
        </w:rPr>
        <w:t>Tablo 2. QMOOD tasarım özellikleri için kullanılan metrik/proxy eşleştirmesi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pPr>
              <w:jc w:val="center"/>
            </w:pPr>
            <w:r/>
            <w:r>
              <w:rPr>
                <w:b/>
                <w:sz w:val="16"/>
              </w:rPr>
              <w:t>QMOOD Özelliği</w:t>
            </w:r>
          </w:p>
        </w:tc>
        <w:tc>
          <w:tcPr>
            <w:tcW w:type="dxa" w:w="3408"/>
            <w:shd w:fill="D9EAF7"/>
            <w:vAlign w:val="center"/>
          </w:tcPr>
          <w:p>
            <w:pPr>
              <w:jc w:val="center"/>
            </w:pPr>
            <w:r/>
            <w:r>
              <w:rPr>
                <w:b/>
                <w:sz w:val="16"/>
              </w:rPr>
              <w:t>Kullanılan Metrik</w:t>
            </w:r>
          </w:p>
        </w:tc>
        <w:tc>
          <w:tcPr>
            <w:tcW w:type="dxa" w:w="3408"/>
            <w:shd w:fill="D9EAF7"/>
            <w:vAlign w:val="center"/>
          </w:tcPr>
          <w:p>
            <w:pPr>
              <w:jc w:val="center"/>
            </w:pPr>
            <w:r/>
            <w:r>
              <w:rPr>
                <w:b/>
                <w:sz w:val="16"/>
              </w:rPr>
              <w:t>Açıklama</w:t>
            </w:r>
          </w:p>
        </w:tc>
      </w:tr>
      <w:tr>
        <w:tc>
          <w:tcPr>
            <w:tcW w:type="dxa" w:w="3408"/>
            <w:vAlign w:val="center"/>
          </w:tcPr>
          <w:p>
            <w:pPr>
              <w:jc w:val="center"/>
            </w:pPr>
            <w:r/>
            <w:r>
              <w:rPr>
                <w:b w:val="0"/>
                <w:sz w:val="16"/>
              </w:rPr>
              <w:t>Design Size</w:t>
            </w:r>
          </w:p>
        </w:tc>
        <w:tc>
          <w:tcPr>
            <w:tcW w:type="dxa" w:w="3408"/>
            <w:vAlign w:val="center"/>
          </w:tcPr>
          <w:p>
            <w:pPr>
              <w:jc w:val="center"/>
            </w:pPr>
            <w:r/>
            <w:r>
              <w:rPr>
                <w:b w:val="0"/>
                <w:sz w:val="16"/>
              </w:rPr>
              <w:t>class_count</w:t>
            </w:r>
          </w:p>
        </w:tc>
        <w:tc>
          <w:tcPr>
            <w:tcW w:type="dxa" w:w="3408"/>
            <w:vAlign w:val="center"/>
          </w:tcPr>
          <w:p>
            <w:pPr>
              <w:jc w:val="center"/>
            </w:pPr>
            <w:r/>
            <w:r>
              <w:rPr>
                <w:b w:val="0"/>
                <w:sz w:val="16"/>
              </w:rPr>
              <w:t>Toplam sınıf sayısı</w:t>
            </w:r>
          </w:p>
        </w:tc>
      </w:tr>
      <w:tr>
        <w:tc>
          <w:tcPr>
            <w:tcW w:type="dxa" w:w="3408"/>
            <w:vAlign w:val="center"/>
          </w:tcPr>
          <w:p>
            <w:pPr>
              <w:jc w:val="center"/>
            </w:pPr>
            <w:r/>
            <w:r>
              <w:rPr>
                <w:b w:val="0"/>
                <w:sz w:val="16"/>
              </w:rPr>
              <w:t>Hierarchies</w:t>
            </w:r>
          </w:p>
        </w:tc>
        <w:tc>
          <w:tcPr>
            <w:tcW w:type="dxa" w:w="3408"/>
            <w:vAlign w:val="center"/>
          </w:tcPr>
          <w:p>
            <w:pPr>
              <w:jc w:val="center"/>
            </w:pPr>
            <w:r/>
            <w:r>
              <w:rPr>
                <w:b w:val="0"/>
                <w:sz w:val="16"/>
              </w:rPr>
              <w:t>classes_with_children</w:t>
            </w:r>
          </w:p>
        </w:tc>
        <w:tc>
          <w:tcPr>
            <w:tcW w:type="dxa" w:w="3408"/>
            <w:vAlign w:val="center"/>
          </w:tcPr>
          <w:p>
            <w:pPr>
              <w:jc w:val="center"/>
            </w:pPr>
            <w:r/>
            <w:r>
              <w:rPr>
                <w:b w:val="0"/>
                <w:sz w:val="16"/>
              </w:rPr>
              <w:t>Çocuk sınıfı olan sınıf sayısı</w:t>
            </w:r>
          </w:p>
        </w:tc>
      </w:tr>
      <w:tr>
        <w:tc>
          <w:tcPr>
            <w:tcW w:type="dxa" w:w="3408"/>
            <w:vAlign w:val="center"/>
          </w:tcPr>
          <w:p>
            <w:pPr>
              <w:jc w:val="center"/>
            </w:pPr>
            <w:r/>
            <w:r>
              <w:rPr>
                <w:b w:val="0"/>
                <w:sz w:val="16"/>
              </w:rPr>
              <w:t>Abstraction</w:t>
            </w:r>
          </w:p>
        </w:tc>
        <w:tc>
          <w:tcPr>
            <w:tcW w:type="dxa" w:w="3408"/>
            <w:vAlign w:val="center"/>
          </w:tcPr>
          <w:p>
            <w:pPr>
              <w:jc w:val="center"/>
            </w:pPr>
            <w:r/>
            <w:r>
              <w:rPr>
                <w:b w:val="0"/>
                <w:sz w:val="16"/>
              </w:rPr>
              <w:t>avg_dit</w:t>
            </w:r>
          </w:p>
        </w:tc>
        <w:tc>
          <w:tcPr>
            <w:tcW w:type="dxa" w:w="3408"/>
            <w:vAlign w:val="center"/>
          </w:tcPr>
          <w:p>
            <w:pPr>
              <w:jc w:val="center"/>
            </w:pPr>
            <w:r/>
            <w:r>
              <w:rPr>
                <w:b w:val="0"/>
                <w:sz w:val="16"/>
              </w:rPr>
              <w:t>Ortalama DIT</w:t>
            </w:r>
          </w:p>
        </w:tc>
      </w:tr>
      <w:tr>
        <w:tc>
          <w:tcPr>
            <w:tcW w:type="dxa" w:w="3408"/>
            <w:vAlign w:val="center"/>
          </w:tcPr>
          <w:p>
            <w:pPr>
              <w:jc w:val="center"/>
            </w:pPr>
            <w:r/>
            <w:r>
              <w:rPr>
                <w:b w:val="0"/>
                <w:sz w:val="16"/>
              </w:rPr>
              <w:t>Encapsulation</w:t>
            </w:r>
          </w:p>
        </w:tc>
        <w:tc>
          <w:tcPr>
            <w:tcW w:type="dxa" w:w="3408"/>
            <w:vAlign w:val="center"/>
          </w:tcPr>
          <w:p>
            <w:pPr>
              <w:jc w:val="center"/>
            </w:pPr>
            <w:r/>
            <w:r>
              <w:rPr>
                <w:b w:val="0"/>
                <w:sz w:val="16"/>
              </w:rPr>
              <w:t>dam</w:t>
            </w:r>
          </w:p>
        </w:tc>
        <w:tc>
          <w:tcPr>
            <w:tcW w:type="dxa" w:w="3408"/>
            <w:vAlign w:val="center"/>
          </w:tcPr>
          <w:p>
            <w:pPr>
              <w:jc w:val="center"/>
            </w:pPr>
            <w:r/>
            <w:r>
              <w:rPr>
                <w:b w:val="0"/>
                <w:sz w:val="16"/>
              </w:rPr>
              <w:t>Private/protected alan oranı</w:t>
            </w:r>
          </w:p>
        </w:tc>
      </w:tr>
      <w:tr>
        <w:tc>
          <w:tcPr>
            <w:tcW w:type="dxa" w:w="3408"/>
            <w:vAlign w:val="center"/>
          </w:tcPr>
          <w:p>
            <w:pPr>
              <w:jc w:val="center"/>
            </w:pPr>
            <w:r/>
            <w:r>
              <w:rPr>
                <w:b w:val="0"/>
                <w:sz w:val="16"/>
              </w:rPr>
              <w:t>Coupling</w:t>
            </w:r>
          </w:p>
        </w:tc>
        <w:tc>
          <w:tcPr>
            <w:tcW w:type="dxa" w:w="3408"/>
            <w:vAlign w:val="center"/>
          </w:tcPr>
          <w:p>
            <w:pPr>
              <w:jc w:val="center"/>
            </w:pPr>
            <w:r/>
            <w:r>
              <w:rPr>
                <w:b w:val="0"/>
                <w:sz w:val="16"/>
              </w:rPr>
              <w:t>avg_cbo</w:t>
            </w:r>
          </w:p>
        </w:tc>
        <w:tc>
          <w:tcPr>
            <w:tcW w:type="dxa" w:w="3408"/>
            <w:vAlign w:val="center"/>
          </w:tcPr>
          <w:p>
            <w:pPr>
              <w:jc w:val="center"/>
            </w:pPr>
            <w:r/>
            <w:r>
              <w:rPr>
                <w:b w:val="0"/>
                <w:sz w:val="16"/>
              </w:rPr>
              <w:t>Ortalama CBO</w:t>
            </w:r>
          </w:p>
        </w:tc>
      </w:tr>
      <w:tr>
        <w:tc>
          <w:tcPr>
            <w:tcW w:type="dxa" w:w="3408"/>
            <w:vAlign w:val="center"/>
          </w:tcPr>
          <w:p>
            <w:pPr>
              <w:jc w:val="center"/>
            </w:pPr>
            <w:r/>
            <w:r>
              <w:rPr>
                <w:b w:val="0"/>
                <w:sz w:val="16"/>
              </w:rPr>
              <w:t>Cohesion</w:t>
            </w:r>
          </w:p>
        </w:tc>
        <w:tc>
          <w:tcPr>
            <w:tcW w:type="dxa" w:w="3408"/>
            <w:vAlign w:val="center"/>
          </w:tcPr>
          <w:p>
            <w:pPr>
              <w:jc w:val="center"/>
            </w:pPr>
            <w:r/>
            <w:r>
              <w:rPr>
                <w:b w:val="0"/>
                <w:sz w:val="16"/>
              </w:rPr>
              <w:t>1 / (1 + avg_lcom)</w:t>
            </w:r>
          </w:p>
        </w:tc>
        <w:tc>
          <w:tcPr>
            <w:tcW w:type="dxa" w:w="3408"/>
            <w:vAlign w:val="center"/>
          </w:tcPr>
          <w:p>
            <w:pPr>
              <w:jc w:val="center"/>
            </w:pPr>
            <w:r/>
            <w:r>
              <w:rPr>
                <w:b w:val="0"/>
                <w:sz w:val="16"/>
              </w:rPr>
              <w:t>LCOM üzerinden ters cohesion göstergesi</w:t>
            </w:r>
          </w:p>
        </w:tc>
      </w:tr>
      <w:tr>
        <w:tc>
          <w:tcPr>
            <w:tcW w:type="dxa" w:w="3408"/>
            <w:vAlign w:val="center"/>
          </w:tcPr>
          <w:p>
            <w:pPr>
              <w:jc w:val="center"/>
            </w:pPr>
            <w:r/>
            <w:r>
              <w:rPr>
                <w:b w:val="0"/>
                <w:sz w:val="16"/>
              </w:rPr>
              <w:t>Composition</w:t>
            </w:r>
          </w:p>
        </w:tc>
        <w:tc>
          <w:tcPr>
            <w:tcW w:type="dxa" w:w="3408"/>
            <w:vAlign w:val="center"/>
          </w:tcPr>
          <w:p>
            <w:pPr>
              <w:jc w:val="center"/>
            </w:pPr>
            <w:r/>
            <w:r>
              <w:rPr>
                <w:b w:val="0"/>
                <w:sz w:val="16"/>
              </w:rPr>
              <w:t>total_fields_qty</w:t>
            </w:r>
          </w:p>
        </w:tc>
        <w:tc>
          <w:tcPr>
            <w:tcW w:type="dxa" w:w="3408"/>
            <w:vAlign w:val="center"/>
          </w:tcPr>
          <w:p>
            <w:pPr>
              <w:jc w:val="center"/>
            </w:pPr>
            <w:r/>
            <w:r>
              <w:rPr>
                <w:b w:val="0"/>
                <w:sz w:val="16"/>
              </w:rPr>
              <w:t>Alan sayısı üzerinden yaklaşık gösterge</w:t>
            </w:r>
          </w:p>
        </w:tc>
      </w:tr>
      <w:tr>
        <w:tc>
          <w:tcPr>
            <w:tcW w:type="dxa" w:w="3408"/>
            <w:vAlign w:val="center"/>
          </w:tcPr>
          <w:p>
            <w:pPr>
              <w:jc w:val="center"/>
            </w:pPr>
            <w:r/>
            <w:r>
              <w:rPr>
                <w:b w:val="0"/>
                <w:sz w:val="16"/>
              </w:rPr>
              <w:t>Inheritance</w:t>
            </w:r>
          </w:p>
        </w:tc>
        <w:tc>
          <w:tcPr>
            <w:tcW w:type="dxa" w:w="3408"/>
            <w:vAlign w:val="center"/>
          </w:tcPr>
          <w:p>
            <w:pPr>
              <w:jc w:val="center"/>
            </w:pPr>
            <w:r/>
            <w:r>
              <w:rPr>
                <w:b w:val="0"/>
                <w:sz w:val="16"/>
              </w:rPr>
              <w:t>avg_dit</w:t>
            </w:r>
          </w:p>
        </w:tc>
        <w:tc>
          <w:tcPr>
            <w:tcW w:type="dxa" w:w="3408"/>
            <w:vAlign w:val="center"/>
          </w:tcPr>
          <w:p>
            <w:pPr>
              <w:jc w:val="center"/>
            </w:pPr>
            <w:r/>
            <w:r>
              <w:rPr>
                <w:b w:val="0"/>
                <w:sz w:val="16"/>
              </w:rPr>
              <w:t>Kalıtım derinliği üzerinden yaklaşık gösterge</w:t>
            </w:r>
          </w:p>
        </w:tc>
      </w:tr>
      <w:tr>
        <w:tc>
          <w:tcPr>
            <w:tcW w:type="dxa" w:w="3408"/>
            <w:vAlign w:val="center"/>
          </w:tcPr>
          <w:p>
            <w:pPr>
              <w:jc w:val="center"/>
            </w:pPr>
            <w:r/>
            <w:r>
              <w:rPr>
                <w:b w:val="0"/>
                <w:sz w:val="16"/>
              </w:rPr>
              <w:t>Polymorphism</w:t>
            </w:r>
          </w:p>
        </w:tc>
        <w:tc>
          <w:tcPr>
            <w:tcW w:type="dxa" w:w="3408"/>
            <w:vAlign w:val="center"/>
          </w:tcPr>
          <w:p>
            <w:pPr>
              <w:jc w:val="center"/>
            </w:pPr>
            <w:r/>
            <w:r>
              <w:rPr>
                <w:b w:val="0"/>
                <w:sz w:val="16"/>
              </w:rPr>
              <w:t>classes_with_children</w:t>
            </w:r>
          </w:p>
        </w:tc>
        <w:tc>
          <w:tcPr>
            <w:tcW w:type="dxa" w:w="3408"/>
            <w:vAlign w:val="center"/>
          </w:tcPr>
          <w:p>
            <w:pPr>
              <w:jc w:val="center"/>
            </w:pPr>
            <w:r/>
            <w:r>
              <w:rPr>
                <w:b w:val="0"/>
                <w:sz w:val="16"/>
              </w:rPr>
              <w:t>Kalıtım yapısı üzerinden yaklaşık gösterge</w:t>
            </w:r>
          </w:p>
        </w:tc>
      </w:tr>
      <w:tr>
        <w:tc>
          <w:tcPr>
            <w:tcW w:type="dxa" w:w="3408"/>
            <w:vAlign w:val="center"/>
          </w:tcPr>
          <w:p>
            <w:pPr>
              <w:jc w:val="center"/>
            </w:pPr>
            <w:r/>
            <w:r>
              <w:rPr>
                <w:b w:val="0"/>
                <w:sz w:val="16"/>
              </w:rPr>
              <w:t>Messaging</w:t>
            </w:r>
          </w:p>
        </w:tc>
        <w:tc>
          <w:tcPr>
            <w:tcW w:type="dxa" w:w="3408"/>
            <w:vAlign w:val="center"/>
          </w:tcPr>
          <w:p>
            <w:pPr>
              <w:jc w:val="center"/>
            </w:pPr>
            <w:r/>
            <w:r>
              <w:rPr>
                <w:b w:val="0"/>
                <w:sz w:val="16"/>
              </w:rPr>
              <w:t>public_methods_qty</w:t>
            </w:r>
          </w:p>
        </w:tc>
        <w:tc>
          <w:tcPr>
            <w:tcW w:type="dxa" w:w="3408"/>
            <w:vAlign w:val="center"/>
          </w:tcPr>
          <w:p>
            <w:pPr>
              <w:jc w:val="center"/>
            </w:pPr>
            <w:r/>
            <w:r>
              <w:rPr>
                <w:b w:val="0"/>
                <w:sz w:val="16"/>
              </w:rPr>
              <w:t>Public metot sayısı</w:t>
            </w:r>
          </w:p>
        </w:tc>
      </w:tr>
      <w:tr>
        <w:tc>
          <w:tcPr>
            <w:tcW w:type="dxa" w:w="3408"/>
            <w:vAlign w:val="center"/>
          </w:tcPr>
          <w:p>
            <w:pPr>
              <w:jc w:val="center"/>
            </w:pPr>
            <w:r/>
            <w:r>
              <w:rPr>
                <w:b w:val="0"/>
                <w:sz w:val="16"/>
              </w:rPr>
              <w:t>Complexity</w:t>
            </w:r>
          </w:p>
        </w:tc>
        <w:tc>
          <w:tcPr>
            <w:tcW w:type="dxa" w:w="3408"/>
            <w:vAlign w:val="center"/>
          </w:tcPr>
          <w:p>
            <w:pPr>
              <w:jc w:val="center"/>
            </w:pPr>
            <w:r/>
            <w:r>
              <w:rPr>
                <w:b w:val="0"/>
                <w:sz w:val="16"/>
              </w:rPr>
              <w:t>avg_wmc</w:t>
            </w:r>
          </w:p>
        </w:tc>
        <w:tc>
          <w:tcPr>
            <w:tcW w:type="dxa" w:w="3408"/>
            <w:vAlign w:val="center"/>
          </w:tcPr>
          <w:p>
            <w:pPr>
              <w:jc w:val="center"/>
            </w:pPr>
            <w:r/>
            <w:r>
              <w:rPr>
                <w:b w:val="0"/>
                <w:sz w:val="16"/>
              </w:rPr>
              <w:t>Ortalama WMC</w:t>
            </w:r>
          </w:p>
        </w:tc>
      </w:tr>
    </w:tbl>
    <w:p/>
    <w:p>
      <w:r>
        <w:rPr>
          <w:rFonts w:ascii="Calibri" w:hAnsi="Calibri"/>
        </w:rPr>
        <w:t>Normalizasyon işleminde v4.0.4 sürümü referans alınmıştır. Böylece elde edilen değerler mutlak kalite düzeyini değil, başlangıç sürümüne göre göreli kalite değişimini ifade eder.</w:t>
      </w:r>
    </w:p>
    <w:p>
      <w:pPr>
        <w:pStyle w:val="Heading1"/>
      </w:pPr>
      <w:r>
        <w:rPr>
          <w:rFonts w:ascii="Calibri" w:hAnsi="Calibri"/>
        </w:rPr>
        <w:t>4. Analiz Süreci</w:t>
      </w:r>
    </w:p>
    <w:p>
      <w:r>
        <w:rPr>
          <w:rFonts w:ascii="Calibri" w:hAnsi="Calibri"/>
        </w:rPr>
        <w:t>Analiz süreci dört aşamada yürütülmüştür. İlk olarak picocli deposundaki seçilen tag sürümleri ayrı klasörlere çıkarılmıştır. İkinci aşamada CK Tool ile her sürümün src/main/java dizini analiz edilmiştir. Üçüncü aşamada Python ile ham class-level ve method-level CSV çıktıları sürüm bazlı özet metriklere dönüştürülmüştür. Son aşamada QMOOD formülleri uygulanarak kalite nitelikleri ve TQI değerleri hesaplanmış, Matplotlib ile grafikler üretilmiştir.</w:t>
      </w:r>
    </w:p>
    <w:p>
      <w:pPr>
        <w:pStyle w:val="Heading1"/>
      </w:pPr>
      <w:r>
        <w:rPr>
          <w:rFonts w:ascii="Calibri" w:hAnsi="Calibri"/>
        </w:rPr>
        <w:t>5. Sonuçlar</w:t>
      </w:r>
    </w:p>
    <w:p>
      <w:pPr>
        <w:pStyle w:val="Heading2"/>
      </w:pPr>
      <w:r>
        <w:rPr>
          <w:rFonts w:ascii="Calibri" w:hAnsi="Calibri"/>
        </w:rPr>
        <w:t>5.1. Temel Metrik Sonuçları</w:t>
      </w:r>
    </w:p>
    <w:p>
      <w:r>
        <w:rPr>
          <w:rFonts w:ascii="Calibri" w:hAnsi="Calibri"/>
          <w:b/>
        </w:rPr>
        <w:t>Tablo 3. Sürüm bazlı özet metrik sonuçları</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shd w:fill="D9EAF7"/>
            <w:vAlign w:val="center"/>
          </w:tcPr>
          <w:p>
            <w:pPr>
              <w:jc w:val="center"/>
            </w:pPr>
            <w:r/>
            <w:r>
              <w:rPr>
                <w:b/>
                <w:sz w:val="14"/>
              </w:rPr>
              <w:t>Sürüm</w:t>
            </w:r>
          </w:p>
        </w:tc>
        <w:tc>
          <w:tcPr>
            <w:tcW w:type="dxa" w:w="1136"/>
            <w:shd w:fill="D9EAF7"/>
            <w:vAlign w:val="center"/>
          </w:tcPr>
          <w:p>
            <w:pPr>
              <w:jc w:val="center"/>
            </w:pPr>
            <w:r/>
            <w:r>
              <w:rPr>
                <w:b/>
                <w:sz w:val="14"/>
              </w:rPr>
              <w:t>Sınıf</w:t>
            </w:r>
          </w:p>
        </w:tc>
        <w:tc>
          <w:tcPr>
            <w:tcW w:type="dxa" w:w="1136"/>
            <w:shd w:fill="D9EAF7"/>
            <w:vAlign w:val="center"/>
          </w:tcPr>
          <w:p>
            <w:pPr>
              <w:jc w:val="center"/>
            </w:pPr>
            <w:r/>
            <w:r>
              <w:rPr>
                <w:b/>
                <w:sz w:val="14"/>
              </w:rPr>
              <w:t>Metot</w:t>
            </w:r>
          </w:p>
        </w:tc>
        <w:tc>
          <w:tcPr>
            <w:tcW w:type="dxa" w:w="1136"/>
            <w:shd w:fill="D9EAF7"/>
            <w:vAlign w:val="center"/>
          </w:tcPr>
          <w:p>
            <w:pPr>
              <w:jc w:val="center"/>
            </w:pPr>
            <w:r/>
            <w:r>
              <w:rPr>
                <w:b/>
                <w:sz w:val="14"/>
              </w:rPr>
              <w:t>Avg CBO</w:t>
            </w:r>
          </w:p>
        </w:tc>
        <w:tc>
          <w:tcPr>
            <w:tcW w:type="dxa" w:w="1136"/>
            <w:shd w:fill="D9EAF7"/>
            <w:vAlign w:val="center"/>
          </w:tcPr>
          <w:p>
            <w:pPr>
              <w:jc w:val="center"/>
            </w:pPr>
            <w:r/>
            <w:r>
              <w:rPr>
                <w:b/>
                <w:sz w:val="14"/>
              </w:rPr>
              <w:t>Avg WMC</w:t>
            </w:r>
          </w:p>
        </w:tc>
        <w:tc>
          <w:tcPr>
            <w:tcW w:type="dxa" w:w="1136"/>
            <w:shd w:fill="D9EAF7"/>
            <w:vAlign w:val="center"/>
          </w:tcPr>
          <w:p>
            <w:pPr>
              <w:jc w:val="center"/>
            </w:pPr>
            <w:r/>
            <w:r>
              <w:rPr>
                <w:b/>
                <w:sz w:val="14"/>
              </w:rPr>
              <w:t>Avg DIT</w:t>
            </w:r>
          </w:p>
        </w:tc>
        <w:tc>
          <w:tcPr>
            <w:tcW w:type="dxa" w:w="1136"/>
            <w:shd w:fill="D9EAF7"/>
            <w:vAlign w:val="center"/>
          </w:tcPr>
          <w:p>
            <w:pPr>
              <w:jc w:val="center"/>
            </w:pPr>
            <w:r/>
            <w:r>
              <w:rPr>
                <w:b/>
                <w:sz w:val="14"/>
              </w:rPr>
              <w:t>Avg RFC</w:t>
            </w:r>
          </w:p>
        </w:tc>
        <w:tc>
          <w:tcPr>
            <w:tcW w:type="dxa" w:w="1136"/>
            <w:shd w:fill="D9EAF7"/>
            <w:vAlign w:val="center"/>
          </w:tcPr>
          <w:p>
            <w:pPr>
              <w:jc w:val="center"/>
            </w:pPr>
            <w:r/>
            <w:r>
              <w:rPr>
                <w:b/>
                <w:sz w:val="14"/>
              </w:rPr>
              <w:t>Avg LCOM</w:t>
            </w:r>
          </w:p>
        </w:tc>
        <w:tc>
          <w:tcPr>
            <w:tcW w:type="dxa" w:w="1136"/>
            <w:shd w:fill="D9EAF7"/>
            <w:vAlign w:val="center"/>
          </w:tcPr>
          <w:p>
            <w:pPr>
              <w:jc w:val="center"/>
            </w:pPr>
            <w:r/>
            <w:r>
              <w:rPr>
                <w:b/>
                <w:sz w:val="14"/>
              </w:rPr>
              <w:t>DAM</w:t>
            </w:r>
          </w:p>
        </w:tc>
      </w:tr>
      <w:tr>
        <w:tc>
          <w:tcPr>
            <w:tcW w:type="dxa" w:w="1136"/>
            <w:vAlign w:val="center"/>
          </w:tcPr>
          <w:p>
            <w:pPr>
              <w:jc w:val="center"/>
            </w:pPr>
            <w:r/>
            <w:r>
              <w:rPr>
                <w:b w:val="0"/>
                <w:sz w:val="14"/>
              </w:rPr>
              <w:t>v4.0.4</w:t>
            </w:r>
          </w:p>
        </w:tc>
        <w:tc>
          <w:tcPr>
            <w:tcW w:type="dxa" w:w="1136"/>
            <w:vAlign w:val="center"/>
          </w:tcPr>
          <w:p>
            <w:pPr>
              <w:jc w:val="center"/>
            </w:pPr>
            <w:r/>
            <w:r>
              <w:rPr>
                <w:b w:val="0"/>
                <w:sz w:val="14"/>
              </w:rPr>
              <w:t>192</w:t>
            </w:r>
          </w:p>
        </w:tc>
        <w:tc>
          <w:tcPr>
            <w:tcW w:type="dxa" w:w="1136"/>
            <w:vAlign w:val="center"/>
          </w:tcPr>
          <w:p>
            <w:pPr>
              <w:jc w:val="center"/>
            </w:pPr>
            <w:r/>
            <w:r>
              <w:rPr>
                <w:b w:val="0"/>
                <w:sz w:val="14"/>
              </w:rPr>
              <w:t>1517</w:t>
            </w:r>
          </w:p>
        </w:tc>
        <w:tc>
          <w:tcPr>
            <w:tcW w:type="dxa" w:w="1136"/>
            <w:vAlign w:val="center"/>
          </w:tcPr>
          <w:p>
            <w:pPr>
              <w:jc w:val="center"/>
            </w:pPr>
            <w:r/>
            <w:r>
              <w:rPr>
                <w:b w:val="0"/>
                <w:sz w:val="14"/>
              </w:rPr>
              <w:t>4.9219</w:t>
            </w:r>
          </w:p>
        </w:tc>
        <w:tc>
          <w:tcPr>
            <w:tcW w:type="dxa" w:w="1136"/>
            <w:vAlign w:val="center"/>
          </w:tcPr>
          <w:p>
            <w:pPr>
              <w:jc w:val="center"/>
            </w:pPr>
            <w:r/>
            <w:r>
              <w:rPr>
                <w:b w:val="0"/>
                <w:sz w:val="14"/>
              </w:rPr>
              <w:t>17.4048</w:t>
            </w:r>
          </w:p>
        </w:tc>
        <w:tc>
          <w:tcPr>
            <w:tcW w:type="dxa" w:w="1136"/>
            <w:vAlign w:val="center"/>
          </w:tcPr>
          <w:p>
            <w:pPr>
              <w:jc w:val="center"/>
            </w:pPr>
            <w:r/>
            <w:r>
              <w:rPr>
                <w:b w:val="0"/>
                <w:sz w:val="14"/>
              </w:rPr>
              <w:t>1.8125</w:t>
            </w:r>
          </w:p>
        </w:tc>
        <w:tc>
          <w:tcPr>
            <w:tcW w:type="dxa" w:w="1136"/>
            <w:vAlign w:val="center"/>
          </w:tcPr>
          <w:p>
            <w:pPr>
              <w:jc w:val="center"/>
            </w:pPr>
            <w:r/>
            <w:r>
              <w:rPr>
                <w:b w:val="0"/>
                <w:sz w:val="14"/>
              </w:rPr>
              <w:t>14.2969</w:t>
            </w:r>
          </w:p>
        </w:tc>
        <w:tc>
          <w:tcPr>
            <w:tcW w:type="dxa" w:w="1136"/>
            <w:vAlign w:val="center"/>
          </w:tcPr>
          <w:p>
            <w:pPr>
              <w:jc w:val="center"/>
            </w:pPr>
            <w:r/>
            <w:r>
              <w:rPr>
                <w:b w:val="0"/>
                <w:sz w:val="14"/>
              </w:rPr>
              <w:t>157.80</w:t>
            </w:r>
          </w:p>
        </w:tc>
        <w:tc>
          <w:tcPr>
            <w:tcW w:type="dxa" w:w="1136"/>
            <w:vAlign w:val="center"/>
          </w:tcPr>
          <w:p>
            <w:pPr>
              <w:jc w:val="center"/>
            </w:pPr>
            <w:r/>
            <w:r>
              <w:rPr>
                <w:b w:val="0"/>
                <w:sz w:val="14"/>
              </w:rPr>
              <w:t>0.7739</w:t>
            </w:r>
          </w:p>
        </w:tc>
      </w:tr>
      <w:tr>
        <w:tc>
          <w:tcPr>
            <w:tcW w:type="dxa" w:w="1136"/>
            <w:vAlign w:val="center"/>
          </w:tcPr>
          <w:p>
            <w:pPr>
              <w:jc w:val="center"/>
            </w:pPr>
            <w:r/>
            <w:r>
              <w:rPr>
                <w:b w:val="0"/>
                <w:sz w:val="14"/>
              </w:rPr>
              <w:t>v4.1.0</w:t>
            </w:r>
          </w:p>
        </w:tc>
        <w:tc>
          <w:tcPr>
            <w:tcW w:type="dxa" w:w="1136"/>
            <w:vAlign w:val="center"/>
          </w:tcPr>
          <w:p>
            <w:pPr>
              <w:jc w:val="center"/>
            </w:pPr>
            <w:r/>
            <w:r>
              <w:rPr>
                <w:b w:val="0"/>
                <w:sz w:val="14"/>
              </w:rPr>
              <w:t>194</w:t>
            </w:r>
          </w:p>
        </w:tc>
        <w:tc>
          <w:tcPr>
            <w:tcW w:type="dxa" w:w="1136"/>
            <w:vAlign w:val="center"/>
          </w:tcPr>
          <w:p>
            <w:pPr>
              <w:jc w:val="center"/>
            </w:pPr>
            <w:r/>
            <w:r>
              <w:rPr>
                <w:b w:val="0"/>
                <w:sz w:val="14"/>
              </w:rPr>
              <w:t>1537</w:t>
            </w:r>
          </w:p>
        </w:tc>
        <w:tc>
          <w:tcPr>
            <w:tcW w:type="dxa" w:w="1136"/>
            <w:vAlign w:val="center"/>
          </w:tcPr>
          <w:p>
            <w:pPr>
              <w:jc w:val="center"/>
            </w:pPr>
            <w:r/>
            <w:r>
              <w:rPr>
                <w:b w:val="0"/>
                <w:sz w:val="14"/>
              </w:rPr>
              <w:t>4.9485</w:t>
            </w:r>
          </w:p>
        </w:tc>
        <w:tc>
          <w:tcPr>
            <w:tcW w:type="dxa" w:w="1136"/>
            <w:vAlign w:val="center"/>
          </w:tcPr>
          <w:p>
            <w:pPr>
              <w:jc w:val="center"/>
            </w:pPr>
            <w:r/>
            <w:r>
              <w:rPr>
                <w:b w:val="0"/>
                <w:sz w:val="14"/>
              </w:rPr>
              <w:t>17.6031</w:t>
            </w:r>
          </w:p>
        </w:tc>
        <w:tc>
          <w:tcPr>
            <w:tcW w:type="dxa" w:w="1136"/>
            <w:vAlign w:val="center"/>
          </w:tcPr>
          <w:p>
            <w:pPr>
              <w:jc w:val="center"/>
            </w:pPr>
            <w:r/>
            <w:r>
              <w:rPr>
                <w:b w:val="0"/>
                <w:sz w:val="14"/>
              </w:rPr>
              <w:t>1.8041</w:t>
            </w:r>
          </w:p>
        </w:tc>
        <w:tc>
          <w:tcPr>
            <w:tcW w:type="dxa" w:w="1136"/>
            <w:vAlign w:val="center"/>
          </w:tcPr>
          <w:p>
            <w:pPr>
              <w:jc w:val="center"/>
            </w:pPr>
            <w:r/>
            <w:r>
              <w:rPr>
                <w:b w:val="0"/>
                <w:sz w:val="14"/>
              </w:rPr>
              <w:t>14.4485</w:t>
            </w:r>
          </w:p>
        </w:tc>
        <w:tc>
          <w:tcPr>
            <w:tcW w:type="dxa" w:w="1136"/>
            <w:vAlign w:val="center"/>
          </w:tcPr>
          <w:p>
            <w:pPr>
              <w:jc w:val="center"/>
            </w:pPr>
            <w:r/>
            <w:r>
              <w:rPr>
                <w:b w:val="0"/>
                <w:sz w:val="14"/>
              </w:rPr>
              <w:t>160.19</w:t>
            </w:r>
          </w:p>
        </w:tc>
        <w:tc>
          <w:tcPr>
            <w:tcW w:type="dxa" w:w="1136"/>
            <w:vAlign w:val="center"/>
          </w:tcPr>
          <w:p>
            <w:pPr>
              <w:jc w:val="center"/>
            </w:pPr>
            <w:r/>
            <w:r>
              <w:rPr>
                <w:b w:val="0"/>
                <w:sz w:val="14"/>
              </w:rPr>
              <w:t>0.7737</w:t>
            </w:r>
          </w:p>
        </w:tc>
      </w:tr>
      <w:tr>
        <w:tc>
          <w:tcPr>
            <w:tcW w:type="dxa" w:w="1136"/>
            <w:vAlign w:val="center"/>
          </w:tcPr>
          <w:p>
            <w:pPr>
              <w:jc w:val="center"/>
            </w:pPr>
            <w:r/>
            <w:r>
              <w:rPr>
                <w:b w:val="0"/>
                <w:sz w:val="14"/>
              </w:rPr>
              <w:t>v4.1.4</w:t>
            </w:r>
          </w:p>
        </w:tc>
        <w:tc>
          <w:tcPr>
            <w:tcW w:type="dxa" w:w="1136"/>
            <w:vAlign w:val="center"/>
          </w:tcPr>
          <w:p>
            <w:pPr>
              <w:jc w:val="center"/>
            </w:pPr>
            <w:r/>
            <w:r>
              <w:rPr>
                <w:b w:val="0"/>
                <w:sz w:val="14"/>
              </w:rPr>
              <w:t>194</w:t>
            </w:r>
          </w:p>
        </w:tc>
        <w:tc>
          <w:tcPr>
            <w:tcW w:type="dxa" w:w="1136"/>
            <w:vAlign w:val="center"/>
          </w:tcPr>
          <w:p>
            <w:pPr>
              <w:jc w:val="center"/>
            </w:pPr>
            <w:r/>
            <w:r>
              <w:rPr>
                <w:b w:val="0"/>
                <w:sz w:val="14"/>
              </w:rPr>
              <w:t>1537</w:t>
            </w:r>
          </w:p>
        </w:tc>
        <w:tc>
          <w:tcPr>
            <w:tcW w:type="dxa" w:w="1136"/>
            <w:vAlign w:val="center"/>
          </w:tcPr>
          <w:p>
            <w:pPr>
              <w:jc w:val="center"/>
            </w:pPr>
            <w:r/>
            <w:r>
              <w:rPr>
                <w:b w:val="0"/>
                <w:sz w:val="14"/>
              </w:rPr>
              <w:t>4.9558</w:t>
            </w:r>
          </w:p>
        </w:tc>
        <w:tc>
          <w:tcPr>
            <w:tcW w:type="dxa" w:w="1136"/>
            <w:vAlign w:val="center"/>
          </w:tcPr>
          <w:p>
            <w:pPr>
              <w:jc w:val="center"/>
            </w:pPr>
            <w:r/>
            <w:r>
              <w:rPr>
                <w:b w:val="0"/>
                <w:sz w:val="14"/>
              </w:rPr>
              <w:t>17.6959</w:t>
            </w:r>
          </w:p>
        </w:tc>
        <w:tc>
          <w:tcPr>
            <w:tcW w:type="dxa" w:w="1136"/>
            <w:vAlign w:val="center"/>
          </w:tcPr>
          <w:p>
            <w:pPr>
              <w:jc w:val="center"/>
            </w:pPr>
            <w:r/>
            <w:r>
              <w:rPr>
                <w:b w:val="0"/>
                <w:sz w:val="14"/>
              </w:rPr>
              <w:t>1.8041</w:t>
            </w:r>
          </w:p>
        </w:tc>
        <w:tc>
          <w:tcPr>
            <w:tcW w:type="dxa" w:w="1136"/>
            <w:vAlign w:val="center"/>
          </w:tcPr>
          <w:p>
            <w:pPr>
              <w:jc w:val="center"/>
            </w:pPr>
            <w:r/>
            <w:r>
              <w:rPr>
                <w:b w:val="0"/>
                <w:sz w:val="14"/>
              </w:rPr>
              <w:t>14.5052</w:t>
            </w:r>
          </w:p>
        </w:tc>
        <w:tc>
          <w:tcPr>
            <w:tcW w:type="dxa" w:w="1136"/>
            <w:vAlign w:val="center"/>
          </w:tcPr>
          <w:p>
            <w:pPr>
              <w:jc w:val="center"/>
            </w:pPr>
            <w:r/>
            <w:r>
              <w:rPr>
                <w:b w:val="0"/>
                <w:sz w:val="14"/>
              </w:rPr>
              <w:t>160.93</w:t>
            </w:r>
          </w:p>
        </w:tc>
        <w:tc>
          <w:tcPr>
            <w:tcW w:type="dxa" w:w="1136"/>
            <w:vAlign w:val="center"/>
          </w:tcPr>
          <w:p>
            <w:pPr>
              <w:jc w:val="center"/>
            </w:pPr>
            <w:r/>
            <w:r>
              <w:rPr>
                <w:b w:val="0"/>
                <w:sz w:val="14"/>
              </w:rPr>
              <w:t>0.7737</w:t>
            </w:r>
          </w:p>
        </w:tc>
      </w:tr>
      <w:tr>
        <w:tc>
          <w:tcPr>
            <w:tcW w:type="dxa" w:w="1136"/>
            <w:vAlign w:val="center"/>
          </w:tcPr>
          <w:p>
            <w:pPr>
              <w:jc w:val="center"/>
            </w:pPr>
            <w:r/>
            <w:r>
              <w:rPr>
                <w:b w:val="0"/>
                <w:sz w:val="14"/>
              </w:rPr>
              <w:t>v4.2.0</w:t>
            </w:r>
          </w:p>
        </w:tc>
        <w:tc>
          <w:tcPr>
            <w:tcW w:type="dxa" w:w="1136"/>
            <w:vAlign w:val="center"/>
          </w:tcPr>
          <w:p>
            <w:pPr>
              <w:jc w:val="center"/>
            </w:pPr>
            <w:r/>
            <w:r>
              <w:rPr>
                <w:b w:val="0"/>
                <w:sz w:val="14"/>
              </w:rPr>
              <w:t>199</w:t>
            </w:r>
          </w:p>
        </w:tc>
        <w:tc>
          <w:tcPr>
            <w:tcW w:type="dxa" w:w="1136"/>
            <w:vAlign w:val="center"/>
          </w:tcPr>
          <w:p>
            <w:pPr>
              <w:jc w:val="center"/>
            </w:pPr>
            <w:r/>
            <w:r>
              <w:rPr>
                <w:b w:val="0"/>
                <w:sz w:val="14"/>
              </w:rPr>
              <w:t>1592</w:t>
            </w:r>
          </w:p>
        </w:tc>
        <w:tc>
          <w:tcPr>
            <w:tcW w:type="dxa" w:w="1136"/>
            <w:vAlign w:val="center"/>
          </w:tcPr>
          <w:p>
            <w:pPr>
              <w:jc w:val="center"/>
            </w:pPr>
            <w:r/>
            <w:r>
              <w:rPr>
                <w:b w:val="0"/>
                <w:sz w:val="14"/>
              </w:rPr>
              <w:t>4.9950</w:t>
            </w:r>
          </w:p>
        </w:tc>
        <w:tc>
          <w:tcPr>
            <w:tcW w:type="dxa" w:w="1136"/>
            <w:vAlign w:val="center"/>
          </w:tcPr>
          <w:p>
            <w:pPr>
              <w:jc w:val="center"/>
            </w:pPr>
            <w:r/>
            <w:r>
              <w:rPr>
                <w:b w:val="0"/>
                <w:sz w:val="14"/>
              </w:rPr>
              <w:t>18.0000</w:t>
            </w:r>
          </w:p>
        </w:tc>
        <w:tc>
          <w:tcPr>
            <w:tcW w:type="dxa" w:w="1136"/>
            <w:vAlign w:val="center"/>
          </w:tcPr>
          <w:p>
            <w:pPr>
              <w:jc w:val="center"/>
            </w:pPr>
            <w:r/>
            <w:r>
              <w:rPr>
                <w:b w:val="0"/>
                <w:sz w:val="14"/>
              </w:rPr>
              <w:t>1.7839</w:t>
            </w:r>
          </w:p>
        </w:tc>
        <w:tc>
          <w:tcPr>
            <w:tcW w:type="dxa" w:w="1136"/>
            <w:vAlign w:val="center"/>
          </w:tcPr>
          <w:p>
            <w:pPr>
              <w:jc w:val="center"/>
            </w:pPr>
            <w:r/>
            <w:r>
              <w:rPr>
                <w:b w:val="0"/>
                <w:sz w:val="14"/>
              </w:rPr>
              <w:t>14.7437</w:t>
            </w:r>
          </w:p>
        </w:tc>
        <w:tc>
          <w:tcPr>
            <w:tcW w:type="dxa" w:w="1136"/>
            <w:vAlign w:val="center"/>
          </w:tcPr>
          <w:p>
            <w:pPr>
              <w:jc w:val="center"/>
            </w:pPr>
            <w:r/>
            <w:r>
              <w:rPr>
                <w:b w:val="0"/>
                <w:sz w:val="14"/>
              </w:rPr>
              <w:t>165.29</w:t>
            </w:r>
          </w:p>
        </w:tc>
        <w:tc>
          <w:tcPr>
            <w:tcW w:type="dxa" w:w="1136"/>
            <w:vAlign w:val="center"/>
          </w:tcPr>
          <w:p>
            <w:pPr>
              <w:jc w:val="center"/>
            </w:pPr>
            <w:r/>
            <w:r>
              <w:rPr>
                <w:b w:val="0"/>
                <w:sz w:val="14"/>
              </w:rPr>
              <w:t>0.7723</w:t>
            </w:r>
          </w:p>
        </w:tc>
      </w:tr>
      <w:tr>
        <w:tc>
          <w:tcPr>
            <w:tcW w:type="dxa" w:w="1136"/>
            <w:vAlign w:val="center"/>
          </w:tcPr>
          <w:p>
            <w:pPr>
              <w:jc w:val="center"/>
            </w:pPr>
            <w:r/>
            <w:r>
              <w:rPr>
                <w:b w:val="0"/>
                <w:sz w:val="14"/>
              </w:rPr>
              <w:t>v4.3.0</w:t>
            </w:r>
          </w:p>
        </w:tc>
        <w:tc>
          <w:tcPr>
            <w:tcW w:type="dxa" w:w="1136"/>
            <w:vAlign w:val="center"/>
          </w:tcPr>
          <w:p>
            <w:pPr>
              <w:jc w:val="center"/>
            </w:pPr>
            <w:r/>
            <w:r>
              <w:rPr>
                <w:b w:val="0"/>
                <w:sz w:val="14"/>
              </w:rPr>
              <w:t>206</w:t>
            </w:r>
          </w:p>
        </w:tc>
        <w:tc>
          <w:tcPr>
            <w:tcW w:type="dxa" w:w="1136"/>
            <w:vAlign w:val="center"/>
          </w:tcPr>
          <w:p>
            <w:pPr>
              <w:jc w:val="center"/>
            </w:pPr>
            <w:r/>
            <w:r>
              <w:rPr>
                <w:b w:val="0"/>
                <w:sz w:val="14"/>
              </w:rPr>
              <w:t>1666</w:t>
            </w:r>
          </w:p>
        </w:tc>
        <w:tc>
          <w:tcPr>
            <w:tcW w:type="dxa" w:w="1136"/>
            <w:vAlign w:val="center"/>
          </w:tcPr>
          <w:p>
            <w:pPr>
              <w:jc w:val="center"/>
            </w:pPr>
            <w:r/>
            <w:r>
              <w:rPr>
                <w:b w:val="0"/>
                <w:sz w:val="14"/>
              </w:rPr>
              <w:t>4.9854</w:t>
            </w:r>
          </w:p>
        </w:tc>
        <w:tc>
          <w:tcPr>
            <w:tcW w:type="dxa" w:w="1136"/>
            <w:vAlign w:val="center"/>
          </w:tcPr>
          <w:p>
            <w:pPr>
              <w:jc w:val="center"/>
            </w:pPr>
            <w:r/>
            <w:r>
              <w:rPr>
                <w:b w:val="0"/>
                <w:sz w:val="14"/>
              </w:rPr>
              <w:t>18.5097</w:t>
            </w:r>
          </w:p>
        </w:tc>
        <w:tc>
          <w:tcPr>
            <w:tcW w:type="dxa" w:w="1136"/>
            <w:vAlign w:val="center"/>
          </w:tcPr>
          <w:p>
            <w:pPr>
              <w:jc w:val="center"/>
            </w:pPr>
            <w:r/>
            <w:r>
              <w:rPr>
                <w:b w:val="0"/>
                <w:sz w:val="14"/>
              </w:rPr>
              <w:t>1.7700</w:t>
            </w:r>
          </w:p>
        </w:tc>
        <w:tc>
          <w:tcPr>
            <w:tcW w:type="dxa" w:w="1136"/>
            <w:vAlign w:val="center"/>
          </w:tcPr>
          <w:p>
            <w:pPr>
              <w:jc w:val="center"/>
            </w:pPr>
            <w:r/>
            <w:r>
              <w:rPr>
                <w:b w:val="0"/>
                <w:sz w:val="14"/>
              </w:rPr>
              <w:t>15.0971</w:t>
            </w:r>
          </w:p>
        </w:tc>
        <w:tc>
          <w:tcPr>
            <w:tcW w:type="dxa" w:w="1136"/>
            <w:vAlign w:val="center"/>
          </w:tcPr>
          <w:p>
            <w:pPr>
              <w:jc w:val="center"/>
            </w:pPr>
            <w:r/>
            <w:r>
              <w:rPr>
                <w:b w:val="0"/>
                <w:sz w:val="14"/>
              </w:rPr>
              <w:t>173.64</w:t>
            </w:r>
          </w:p>
        </w:tc>
        <w:tc>
          <w:tcPr>
            <w:tcW w:type="dxa" w:w="1136"/>
            <w:vAlign w:val="center"/>
          </w:tcPr>
          <w:p>
            <w:pPr>
              <w:jc w:val="center"/>
            </w:pPr>
            <w:r/>
            <w:r>
              <w:rPr>
                <w:b w:val="0"/>
                <w:sz w:val="14"/>
              </w:rPr>
              <w:t>0.7743</w:t>
            </w:r>
          </w:p>
        </w:tc>
      </w:tr>
      <w:tr>
        <w:tc>
          <w:tcPr>
            <w:tcW w:type="dxa" w:w="1136"/>
            <w:vAlign w:val="center"/>
          </w:tcPr>
          <w:p>
            <w:pPr>
              <w:jc w:val="center"/>
            </w:pPr>
            <w:r/>
            <w:r>
              <w:rPr>
                <w:b w:val="0"/>
                <w:sz w:val="14"/>
              </w:rPr>
              <w:t>v4.3.2</w:t>
            </w:r>
          </w:p>
        </w:tc>
        <w:tc>
          <w:tcPr>
            <w:tcW w:type="dxa" w:w="1136"/>
            <w:vAlign w:val="center"/>
          </w:tcPr>
          <w:p>
            <w:pPr>
              <w:jc w:val="center"/>
            </w:pPr>
            <w:r/>
            <w:r>
              <w:rPr>
                <w:b w:val="0"/>
                <w:sz w:val="14"/>
              </w:rPr>
              <w:t>207</w:t>
            </w:r>
          </w:p>
        </w:tc>
        <w:tc>
          <w:tcPr>
            <w:tcW w:type="dxa" w:w="1136"/>
            <w:vAlign w:val="center"/>
          </w:tcPr>
          <w:p>
            <w:pPr>
              <w:jc w:val="center"/>
            </w:pPr>
            <w:r/>
            <w:r>
              <w:rPr>
                <w:b w:val="0"/>
                <w:sz w:val="14"/>
              </w:rPr>
              <w:t>1668</w:t>
            </w:r>
          </w:p>
        </w:tc>
        <w:tc>
          <w:tcPr>
            <w:tcW w:type="dxa" w:w="1136"/>
            <w:vAlign w:val="center"/>
          </w:tcPr>
          <w:p>
            <w:pPr>
              <w:jc w:val="center"/>
            </w:pPr>
            <w:r/>
            <w:r>
              <w:rPr>
                <w:b w:val="0"/>
                <w:sz w:val="14"/>
              </w:rPr>
              <w:t>4.9807</w:t>
            </w:r>
          </w:p>
        </w:tc>
        <w:tc>
          <w:tcPr>
            <w:tcW w:type="dxa" w:w="1136"/>
            <w:vAlign w:val="center"/>
          </w:tcPr>
          <w:p>
            <w:pPr>
              <w:jc w:val="center"/>
            </w:pPr>
            <w:r/>
            <w:r>
              <w:rPr>
                <w:b w:val="0"/>
                <w:sz w:val="14"/>
              </w:rPr>
              <w:t>18.4203</w:t>
            </w:r>
          </w:p>
        </w:tc>
        <w:tc>
          <w:tcPr>
            <w:tcW w:type="dxa" w:w="1136"/>
            <w:vAlign w:val="center"/>
          </w:tcPr>
          <w:p>
            <w:pPr>
              <w:jc w:val="center"/>
            </w:pPr>
            <w:r/>
            <w:r>
              <w:rPr>
                <w:b w:val="0"/>
                <w:sz w:val="14"/>
              </w:rPr>
              <w:t>1.7826</w:t>
            </w:r>
          </w:p>
        </w:tc>
        <w:tc>
          <w:tcPr>
            <w:tcW w:type="dxa" w:w="1136"/>
            <w:vAlign w:val="center"/>
          </w:tcPr>
          <w:p>
            <w:pPr>
              <w:jc w:val="center"/>
            </w:pPr>
            <w:r/>
            <w:r>
              <w:rPr>
                <w:b w:val="0"/>
                <w:sz w:val="14"/>
              </w:rPr>
              <w:t>15.0338</w:t>
            </w:r>
          </w:p>
        </w:tc>
        <w:tc>
          <w:tcPr>
            <w:tcW w:type="dxa" w:w="1136"/>
            <w:vAlign w:val="center"/>
          </w:tcPr>
          <w:p>
            <w:pPr>
              <w:jc w:val="center"/>
            </w:pPr>
            <w:r/>
            <w:r>
              <w:rPr>
                <w:b w:val="0"/>
                <w:sz w:val="14"/>
              </w:rPr>
              <w:t>173.04</w:t>
            </w:r>
          </w:p>
        </w:tc>
        <w:tc>
          <w:tcPr>
            <w:tcW w:type="dxa" w:w="1136"/>
            <w:vAlign w:val="center"/>
          </w:tcPr>
          <w:p>
            <w:pPr>
              <w:jc w:val="center"/>
            </w:pPr>
            <w:r/>
            <w:r>
              <w:rPr>
                <w:b w:val="0"/>
                <w:sz w:val="14"/>
              </w:rPr>
              <w:t>0.7727</w:t>
            </w:r>
          </w:p>
        </w:tc>
      </w:tr>
      <w:tr>
        <w:tc>
          <w:tcPr>
            <w:tcW w:type="dxa" w:w="1136"/>
            <w:vAlign w:val="center"/>
          </w:tcPr>
          <w:p>
            <w:pPr>
              <w:jc w:val="center"/>
            </w:pPr>
            <w:r/>
            <w:r>
              <w:rPr>
                <w:b w:val="0"/>
                <w:sz w:val="14"/>
              </w:rPr>
              <w:t>v4.4.0</w:t>
            </w:r>
          </w:p>
        </w:tc>
        <w:tc>
          <w:tcPr>
            <w:tcW w:type="dxa" w:w="1136"/>
            <w:vAlign w:val="center"/>
          </w:tcPr>
          <w:p>
            <w:pPr>
              <w:jc w:val="center"/>
            </w:pPr>
            <w:r/>
            <w:r>
              <w:rPr>
                <w:b w:val="0"/>
                <w:sz w:val="14"/>
              </w:rPr>
              <w:t>209</w:t>
            </w:r>
          </w:p>
        </w:tc>
        <w:tc>
          <w:tcPr>
            <w:tcW w:type="dxa" w:w="1136"/>
            <w:vAlign w:val="center"/>
          </w:tcPr>
          <w:p>
            <w:pPr>
              <w:jc w:val="center"/>
            </w:pPr>
            <w:r/>
            <w:r>
              <w:rPr>
                <w:b w:val="0"/>
                <w:sz w:val="14"/>
              </w:rPr>
              <w:t>1716</w:t>
            </w:r>
          </w:p>
        </w:tc>
        <w:tc>
          <w:tcPr>
            <w:tcW w:type="dxa" w:w="1136"/>
            <w:vAlign w:val="center"/>
          </w:tcPr>
          <w:p>
            <w:pPr>
              <w:jc w:val="center"/>
            </w:pPr>
            <w:r/>
            <w:r>
              <w:rPr>
                <w:b w:val="0"/>
                <w:sz w:val="14"/>
              </w:rPr>
              <w:t>4.9569</w:t>
            </w:r>
          </w:p>
        </w:tc>
        <w:tc>
          <w:tcPr>
            <w:tcW w:type="dxa" w:w="1136"/>
            <w:vAlign w:val="center"/>
          </w:tcPr>
          <w:p>
            <w:pPr>
              <w:jc w:val="center"/>
            </w:pPr>
            <w:r/>
            <w:r>
              <w:rPr>
                <w:b w:val="0"/>
                <w:sz w:val="14"/>
              </w:rPr>
              <w:t>18.7895</w:t>
            </w:r>
          </w:p>
        </w:tc>
        <w:tc>
          <w:tcPr>
            <w:tcW w:type="dxa" w:w="1136"/>
            <w:vAlign w:val="center"/>
          </w:tcPr>
          <w:p>
            <w:pPr>
              <w:jc w:val="center"/>
            </w:pPr>
            <w:r/>
            <w:r>
              <w:rPr>
                <w:b w:val="0"/>
                <w:sz w:val="14"/>
              </w:rPr>
              <w:t>1.7943</w:t>
            </w:r>
          </w:p>
        </w:tc>
        <w:tc>
          <w:tcPr>
            <w:tcW w:type="dxa" w:w="1136"/>
            <w:vAlign w:val="center"/>
          </w:tcPr>
          <w:p>
            <w:pPr>
              <w:jc w:val="center"/>
            </w:pPr>
            <w:r/>
            <w:r>
              <w:rPr>
                <w:b w:val="0"/>
                <w:sz w:val="14"/>
              </w:rPr>
              <w:t>15.2105</w:t>
            </w:r>
          </w:p>
        </w:tc>
        <w:tc>
          <w:tcPr>
            <w:tcW w:type="dxa" w:w="1136"/>
            <w:vAlign w:val="center"/>
          </w:tcPr>
          <w:p>
            <w:pPr>
              <w:jc w:val="center"/>
            </w:pPr>
            <w:r/>
            <w:r>
              <w:rPr>
                <w:b w:val="0"/>
                <w:sz w:val="14"/>
              </w:rPr>
              <w:t>185.55</w:t>
            </w:r>
          </w:p>
        </w:tc>
        <w:tc>
          <w:tcPr>
            <w:tcW w:type="dxa" w:w="1136"/>
            <w:vAlign w:val="center"/>
          </w:tcPr>
          <w:p>
            <w:pPr>
              <w:jc w:val="center"/>
            </w:pPr>
            <w:r/>
            <w:r>
              <w:rPr>
                <w:b w:val="0"/>
                <w:sz w:val="14"/>
              </w:rPr>
              <w:t>0.7758</w:t>
            </w:r>
          </w:p>
        </w:tc>
      </w:tr>
      <w:tr>
        <w:tc>
          <w:tcPr>
            <w:tcW w:type="dxa" w:w="1136"/>
            <w:vAlign w:val="center"/>
          </w:tcPr>
          <w:p>
            <w:pPr>
              <w:jc w:val="center"/>
            </w:pPr>
            <w:r/>
            <w:r>
              <w:rPr>
                <w:b w:val="0"/>
                <w:sz w:val="14"/>
              </w:rPr>
              <w:t>v4.5.2</w:t>
            </w:r>
          </w:p>
        </w:tc>
        <w:tc>
          <w:tcPr>
            <w:tcW w:type="dxa" w:w="1136"/>
            <w:vAlign w:val="center"/>
          </w:tcPr>
          <w:p>
            <w:pPr>
              <w:jc w:val="center"/>
            </w:pPr>
            <w:r/>
            <w:r>
              <w:rPr>
                <w:b w:val="0"/>
                <w:sz w:val="14"/>
              </w:rPr>
              <w:t>209</w:t>
            </w:r>
          </w:p>
        </w:tc>
        <w:tc>
          <w:tcPr>
            <w:tcW w:type="dxa" w:w="1136"/>
            <w:vAlign w:val="center"/>
          </w:tcPr>
          <w:p>
            <w:pPr>
              <w:jc w:val="center"/>
            </w:pPr>
            <w:r/>
            <w:r>
              <w:rPr>
                <w:b w:val="0"/>
                <w:sz w:val="14"/>
              </w:rPr>
              <w:t>1721</w:t>
            </w:r>
          </w:p>
        </w:tc>
        <w:tc>
          <w:tcPr>
            <w:tcW w:type="dxa" w:w="1136"/>
            <w:vAlign w:val="center"/>
          </w:tcPr>
          <w:p>
            <w:pPr>
              <w:jc w:val="center"/>
            </w:pPr>
            <w:r/>
            <w:r>
              <w:rPr>
                <w:b w:val="0"/>
                <w:sz w:val="14"/>
              </w:rPr>
              <w:t>4.9809</w:t>
            </w:r>
          </w:p>
        </w:tc>
        <w:tc>
          <w:tcPr>
            <w:tcW w:type="dxa" w:w="1136"/>
            <w:vAlign w:val="center"/>
          </w:tcPr>
          <w:p>
            <w:pPr>
              <w:jc w:val="center"/>
            </w:pPr>
            <w:r/>
            <w:r>
              <w:rPr>
                <w:b w:val="0"/>
                <w:sz w:val="14"/>
              </w:rPr>
              <w:t>18.8325</w:t>
            </w:r>
          </w:p>
        </w:tc>
        <w:tc>
          <w:tcPr>
            <w:tcW w:type="dxa" w:w="1136"/>
            <w:vAlign w:val="center"/>
          </w:tcPr>
          <w:p>
            <w:pPr>
              <w:jc w:val="center"/>
            </w:pPr>
            <w:r/>
            <w:r>
              <w:rPr>
                <w:b w:val="0"/>
                <w:sz w:val="14"/>
              </w:rPr>
              <w:t>1.7943</w:t>
            </w:r>
          </w:p>
        </w:tc>
        <w:tc>
          <w:tcPr>
            <w:tcW w:type="dxa" w:w="1136"/>
            <w:vAlign w:val="center"/>
          </w:tcPr>
          <w:p>
            <w:pPr>
              <w:jc w:val="center"/>
            </w:pPr>
            <w:r/>
            <w:r>
              <w:rPr>
                <w:b w:val="0"/>
                <w:sz w:val="14"/>
              </w:rPr>
              <w:t>15.2919</w:t>
            </w:r>
          </w:p>
        </w:tc>
        <w:tc>
          <w:tcPr>
            <w:tcW w:type="dxa" w:w="1136"/>
            <w:vAlign w:val="center"/>
          </w:tcPr>
          <w:p>
            <w:pPr>
              <w:jc w:val="center"/>
            </w:pPr>
            <w:r/>
            <w:r>
              <w:rPr>
                <w:b w:val="0"/>
                <w:sz w:val="14"/>
              </w:rPr>
              <w:t>185.23</w:t>
            </w:r>
          </w:p>
        </w:tc>
        <w:tc>
          <w:tcPr>
            <w:tcW w:type="dxa" w:w="1136"/>
            <w:vAlign w:val="center"/>
          </w:tcPr>
          <w:p>
            <w:pPr>
              <w:jc w:val="center"/>
            </w:pPr>
            <w:r/>
            <w:r>
              <w:rPr>
                <w:b w:val="0"/>
                <w:sz w:val="14"/>
              </w:rPr>
              <w:t>0.7758</w:t>
            </w:r>
          </w:p>
        </w:tc>
      </w:tr>
      <w:tr>
        <w:tc>
          <w:tcPr>
            <w:tcW w:type="dxa" w:w="1136"/>
            <w:vAlign w:val="center"/>
          </w:tcPr>
          <w:p>
            <w:pPr>
              <w:jc w:val="center"/>
            </w:pPr>
            <w:r/>
            <w:r>
              <w:rPr>
                <w:b w:val="0"/>
                <w:sz w:val="14"/>
              </w:rPr>
              <w:t>v4.6.3</w:t>
            </w:r>
          </w:p>
        </w:tc>
        <w:tc>
          <w:tcPr>
            <w:tcW w:type="dxa" w:w="1136"/>
            <w:vAlign w:val="center"/>
          </w:tcPr>
          <w:p>
            <w:pPr>
              <w:jc w:val="center"/>
            </w:pPr>
            <w:r/>
            <w:r>
              <w:rPr>
                <w:b w:val="0"/>
                <w:sz w:val="14"/>
              </w:rPr>
              <w:t>215</w:t>
            </w:r>
          </w:p>
        </w:tc>
        <w:tc>
          <w:tcPr>
            <w:tcW w:type="dxa" w:w="1136"/>
            <w:vAlign w:val="center"/>
          </w:tcPr>
          <w:p>
            <w:pPr>
              <w:jc w:val="center"/>
            </w:pPr>
            <w:r/>
            <w:r>
              <w:rPr>
                <w:b w:val="0"/>
                <w:sz w:val="14"/>
              </w:rPr>
              <w:t>1805</w:t>
            </w:r>
          </w:p>
        </w:tc>
        <w:tc>
          <w:tcPr>
            <w:tcW w:type="dxa" w:w="1136"/>
            <w:vAlign w:val="center"/>
          </w:tcPr>
          <w:p>
            <w:pPr>
              <w:jc w:val="center"/>
            </w:pPr>
            <w:r/>
            <w:r>
              <w:rPr>
                <w:b w:val="0"/>
                <w:sz w:val="14"/>
              </w:rPr>
              <w:t>5.0093</w:t>
            </w:r>
          </w:p>
        </w:tc>
        <w:tc>
          <w:tcPr>
            <w:tcW w:type="dxa" w:w="1136"/>
            <w:vAlign w:val="center"/>
          </w:tcPr>
          <w:p>
            <w:pPr>
              <w:jc w:val="center"/>
            </w:pPr>
            <w:r/>
            <w:r>
              <w:rPr>
                <w:b w:val="0"/>
                <w:sz w:val="14"/>
              </w:rPr>
              <w:t>19.2419</w:t>
            </w:r>
          </w:p>
        </w:tc>
        <w:tc>
          <w:tcPr>
            <w:tcW w:type="dxa" w:w="1136"/>
            <w:vAlign w:val="center"/>
          </w:tcPr>
          <w:p>
            <w:pPr>
              <w:jc w:val="center"/>
            </w:pPr>
            <w:r/>
            <w:r>
              <w:rPr>
                <w:b w:val="0"/>
                <w:sz w:val="14"/>
              </w:rPr>
              <w:t>1.7721</w:t>
            </w:r>
          </w:p>
        </w:tc>
        <w:tc>
          <w:tcPr>
            <w:tcW w:type="dxa" w:w="1136"/>
            <w:vAlign w:val="center"/>
          </w:tcPr>
          <w:p>
            <w:pPr>
              <w:jc w:val="center"/>
            </w:pPr>
            <w:r/>
            <w:r>
              <w:rPr>
                <w:b w:val="0"/>
                <w:sz w:val="14"/>
              </w:rPr>
              <w:t>15.5163</w:t>
            </w:r>
          </w:p>
        </w:tc>
        <w:tc>
          <w:tcPr>
            <w:tcW w:type="dxa" w:w="1136"/>
            <w:vAlign w:val="center"/>
          </w:tcPr>
          <w:p>
            <w:pPr>
              <w:jc w:val="center"/>
            </w:pPr>
            <w:r/>
            <w:r>
              <w:rPr>
                <w:b w:val="0"/>
                <w:sz w:val="14"/>
              </w:rPr>
              <w:t>209.29</w:t>
            </w:r>
          </w:p>
        </w:tc>
        <w:tc>
          <w:tcPr>
            <w:tcW w:type="dxa" w:w="1136"/>
            <w:vAlign w:val="center"/>
          </w:tcPr>
          <w:p>
            <w:pPr>
              <w:jc w:val="center"/>
            </w:pPr>
            <w:r/>
            <w:r>
              <w:rPr>
                <w:b w:val="0"/>
                <w:sz w:val="14"/>
              </w:rPr>
              <w:t>0.7737</w:t>
            </w:r>
          </w:p>
        </w:tc>
      </w:tr>
      <w:tr>
        <w:tc>
          <w:tcPr>
            <w:tcW w:type="dxa" w:w="1136"/>
            <w:vAlign w:val="center"/>
          </w:tcPr>
          <w:p>
            <w:pPr>
              <w:jc w:val="center"/>
            </w:pPr>
            <w:r/>
            <w:r>
              <w:rPr>
                <w:b w:val="0"/>
                <w:sz w:val="14"/>
              </w:rPr>
              <w:t>v4.7.7</w:t>
            </w:r>
          </w:p>
        </w:tc>
        <w:tc>
          <w:tcPr>
            <w:tcW w:type="dxa" w:w="1136"/>
            <w:vAlign w:val="center"/>
          </w:tcPr>
          <w:p>
            <w:pPr>
              <w:jc w:val="center"/>
            </w:pPr>
            <w:r/>
            <w:r>
              <w:rPr>
                <w:b w:val="0"/>
                <w:sz w:val="14"/>
              </w:rPr>
              <w:t>219</w:t>
            </w:r>
          </w:p>
        </w:tc>
        <w:tc>
          <w:tcPr>
            <w:tcW w:type="dxa" w:w="1136"/>
            <w:vAlign w:val="center"/>
          </w:tcPr>
          <w:p>
            <w:pPr>
              <w:jc w:val="center"/>
            </w:pPr>
            <w:r/>
            <w:r>
              <w:rPr>
                <w:b w:val="0"/>
                <w:sz w:val="14"/>
              </w:rPr>
              <w:t>1848</w:t>
            </w:r>
          </w:p>
        </w:tc>
        <w:tc>
          <w:tcPr>
            <w:tcW w:type="dxa" w:w="1136"/>
            <w:vAlign w:val="center"/>
          </w:tcPr>
          <w:p>
            <w:pPr>
              <w:jc w:val="center"/>
            </w:pPr>
            <w:r/>
            <w:r>
              <w:rPr>
                <w:b w:val="0"/>
                <w:sz w:val="14"/>
              </w:rPr>
              <w:t>5.0411</w:t>
            </w:r>
          </w:p>
        </w:tc>
        <w:tc>
          <w:tcPr>
            <w:tcW w:type="dxa" w:w="1136"/>
            <w:vAlign w:val="center"/>
          </w:tcPr>
          <w:p>
            <w:pPr>
              <w:jc w:val="center"/>
            </w:pPr>
            <w:r/>
            <w:r>
              <w:rPr>
                <w:b w:val="0"/>
                <w:sz w:val="14"/>
              </w:rPr>
              <w:t>19.5616</w:t>
            </w:r>
          </w:p>
        </w:tc>
        <w:tc>
          <w:tcPr>
            <w:tcW w:type="dxa" w:w="1136"/>
            <w:vAlign w:val="center"/>
          </w:tcPr>
          <w:p>
            <w:pPr>
              <w:jc w:val="center"/>
            </w:pPr>
            <w:r/>
            <w:r>
              <w:rPr>
                <w:b w:val="0"/>
                <w:sz w:val="14"/>
              </w:rPr>
              <w:t>1.7580</w:t>
            </w:r>
          </w:p>
        </w:tc>
        <w:tc>
          <w:tcPr>
            <w:tcW w:type="dxa" w:w="1136"/>
            <w:vAlign w:val="center"/>
          </w:tcPr>
          <w:p>
            <w:pPr>
              <w:jc w:val="center"/>
            </w:pPr>
            <w:r/>
            <w:r>
              <w:rPr>
                <w:b w:val="0"/>
                <w:sz w:val="14"/>
              </w:rPr>
              <w:t>15.7763</w:t>
            </w:r>
          </w:p>
        </w:tc>
        <w:tc>
          <w:tcPr>
            <w:tcW w:type="dxa" w:w="1136"/>
            <w:vAlign w:val="center"/>
          </w:tcPr>
          <w:p>
            <w:pPr>
              <w:jc w:val="center"/>
            </w:pPr>
            <w:r/>
            <w:r>
              <w:rPr>
                <w:b w:val="0"/>
                <w:sz w:val="14"/>
              </w:rPr>
              <w:t>214.35</w:t>
            </w:r>
          </w:p>
        </w:tc>
        <w:tc>
          <w:tcPr>
            <w:tcW w:type="dxa" w:w="1136"/>
            <w:vAlign w:val="center"/>
          </w:tcPr>
          <w:p>
            <w:pPr>
              <w:jc w:val="center"/>
            </w:pPr>
            <w:r/>
            <w:r>
              <w:rPr>
                <w:b w:val="0"/>
                <w:sz w:val="14"/>
              </w:rPr>
              <w:t>0.7790</w:t>
            </w:r>
          </w:p>
        </w:tc>
      </w:tr>
    </w:tbl>
    <w:p/>
    <w:p>
      <w:r>
        <w:rPr>
          <w:rFonts w:ascii="Calibri" w:hAnsi="Calibri"/>
        </w:rPr>
        <w:t>Tablo 3 incelendiğinde sınıf sayısının 192’den 219’a, metot sayısının ise 1517’den 1848’e yükseldiği görülmektedir. Bu artış, picocli projesinin incelenen sürümler boyunca işlevsel olarak büyüdüğünü göstermektedir. Ortalama WMC ve RFC değerlerinin artması, sınıf düzeyinde karmaşıklığın ve yanıt kümesinin genişlediğini düşündürmektedir. Ortalama LCOM değerindeki artış ise cohesion açısından dikkat edilmesi gereken bir eğilimdir.</w:t>
      </w:r>
    </w:p>
    <w:p>
      <w:pPr>
        <w:jc w:val="center"/>
      </w:pPr>
      <w:r>
        <w:rPr>
          <w:rFonts w:ascii="Calibri" w:hAnsi="Calibri"/>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3_class_count_trend.png"/>
                    <pic:cNvPicPr/>
                  </pic:nvPicPr>
                  <pic:blipFill>
                    <a:blip r:embed="rId9"/>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1. Picocli sınıf sayısı trendi</w:t>
      </w:r>
    </w:p>
    <w:p>
      <w:pPr>
        <w:jc w:val="center"/>
      </w:pPr>
      <w:r>
        <w:rPr>
          <w:rFonts w:ascii="Calibri" w:hAnsi="Calibri"/>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4_method_count_trend.png"/>
                    <pic:cNvPicPr/>
                  </pic:nvPicPr>
                  <pic:blipFill>
                    <a:blip r:embed="rId10"/>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2. Picocli metot sayısı trendi</w:t>
      </w:r>
    </w:p>
    <w:p>
      <w:pPr>
        <w:jc w:val="center"/>
      </w:pPr>
      <w:r>
        <w:rPr>
          <w:rFonts w:ascii="Calibri" w:hAnsi="Calibri"/>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5_complexity_rfc_trend.png"/>
                    <pic:cNvPicPr/>
                  </pic:nvPicPr>
                  <pic:blipFill>
                    <a:blip r:embed="rId11"/>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3. Ortalama WMC ve RFC trendi</w:t>
      </w:r>
    </w:p>
    <w:p>
      <w:pPr>
        <w:jc w:val="center"/>
      </w:pPr>
      <w:r>
        <w:rPr>
          <w:rFonts w:ascii="Calibri" w:hAnsi="Calibri"/>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7_lcom_trend.png"/>
                    <pic:cNvPicPr/>
                  </pic:nvPicPr>
                  <pic:blipFill>
                    <a:blip r:embed="rId12"/>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4. Ortalama LCOM trendi</w:t>
      </w:r>
    </w:p>
    <w:p>
      <w:pPr>
        <w:jc w:val="center"/>
      </w:pPr>
      <w:r>
        <w:rPr>
          <w:rFonts w:ascii="Calibri" w:hAnsi="Calibri"/>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6_coupling_trend.png"/>
                    <pic:cNvPicPr/>
                  </pic:nvPicPr>
                  <pic:blipFill>
                    <a:blip r:embed="rId13"/>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5. Ortalama CBO (coupling) trendi</w:t>
      </w:r>
    </w:p>
    <w:p>
      <w:pPr>
        <w:jc w:val="center"/>
      </w:pPr>
      <w:r>
        <w:rPr>
          <w:rFonts w:ascii="Calibri" w:hAnsi="Calibri"/>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8_dit_trend.png"/>
                    <pic:cNvPicPr/>
                  </pic:nvPicPr>
                  <pic:blipFill>
                    <a:blip r:embed="rId14"/>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6. Ortalama DIT (kalıtım derinliği) trendi</w:t>
      </w:r>
    </w:p>
    <w:p>
      <w:r>
        <w:rPr>
          <w:rFonts w:ascii="Calibri" w:hAnsi="Calibri"/>
        </w:rPr>
        <w:t>Coupling trendi sınıflar arası bağımlılığın sürümler boyunca tamamen kontrolsüz biçimde artmadığını, ancak son sürümlerde hafif bir yükseliş olduğunu göstermektedir. DIT trendi ise kalıtım derinliğinin büyük ölçüde sabit kaldığını ve hatta son sürümlerde hafifçe düştüğünü ortaya koymaktadır. Bu durum, büyüyen sisteme rağmen kalıtım yapısının aşırı karmaşıklaşmadığını düşündürür.</w:t>
      </w:r>
    </w:p>
    <w:p>
      <w:pPr>
        <w:pStyle w:val="Heading2"/>
      </w:pPr>
      <w:r>
        <w:rPr>
          <w:rFonts w:ascii="Calibri" w:hAnsi="Calibri"/>
        </w:rPr>
        <w:t>5.2. QMOOD Kalite Skorları</w:t>
      </w:r>
    </w:p>
    <w:p>
      <w:r>
        <w:rPr>
          <w:rFonts w:ascii="Calibri" w:hAnsi="Calibri"/>
          <w:b/>
        </w:rPr>
        <w:t>Tablo 4. QMOOD kalite skorları</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shd w:fill="D9EAF7"/>
            <w:vAlign w:val="center"/>
          </w:tcPr>
          <w:p>
            <w:pPr>
              <w:jc w:val="center"/>
            </w:pPr>
            <w:r/>
            <w:r>
              <w:rPr>
                <w:b/>
                <w:sz w:val="14"/>
              </w:rPr>
              <w:t>Sürüm</w:t>
            </w:r>
          </w:p>
        </w:tc>
        <w:tc>
          <w:tcPr>
            <w:tcW w:type="dxa" w:w="1278"/>
            <w:shd w:fill="D9EAF7"/>
            <w:vAlign w:val="center"/>
          </w:tcPr>
          <w:p>
            <w:pPr>
              <w:jc w:val="center"/>
            </w:pPr>
            <w:r/>
            <w:r>
              <w:rPr>
                <w:b/>
                <w:sz w:val="14"/>
              </w:rPr>
              <w:t>Reusability</w:t>
            </w:r>
          </w:p>
        </w:tc>
        <w:tc>
          <w:tcPr>
            <w:tcW w:type="dxa" w:w="1278"/>
            <w:shd w:fill="D9EAF7"/>
            <w:vAlign w:val="center"/>
          </w:tcPr>
          <w:p>
            <w:pPr>
              <w:jc w:val="center"/>
            </w:pPr>
            <w:r/>
            <w:r>
              <w:rPr>
                <w:b/>
                <w:sz w:val="14"/>
              </w:rPr>
              <w:t>Flexibility</w:t>
            </w:r>
          </w:p>
        </w:tc>
        <w:tc>
          <w:tcPr>
            <w:tcW w:type="dxa" w:w="1278"/>
            <w:shd w:fill="D9EAF7"/>
            <w:vAlign w:val="center"/>
          </w:tcPr>
          <w:p>
            <w:pPr>
              <w:jc w:val="center"/>
            </w:pPr>
            <w:r/>
            <w:r>
              <w:rPr>
                <w:b/>
                <w:sz w:val="14"/>
              </w:rPr>
              <w:t>Understandability</w:t>
            </w:r>
          </w:p>
        </w:tc>
        <w:tc>
          <w:tcPr>
            <w:tcW w:type="dxa" w:w="1278"/>
            <w:shd w:fill="D9EAF7"/>
            <w:vAlign w:val="center"/>
          </w:tcPr>
          <w:p>
            <w:pPr>
              <w:jc w:val="center"/>
            </w:pPr>
            <w:r/>
            <w:r>
              <w:rPr>
                <w:b/>
                <w:sz w:val="14"/>
              </w:rPr>
              <w:t>Functionality</w:t>
            </w:r>
          </w:p>
        </w:tc>
        <w:tc>
          <w:tcPr>
            <w:tcW w:type="dxa" w:w="1278"/>
            <w:shd w:fill="D9EAF7"/>
            <w:vAlign w:val="center"/>
          </w:tcPr>
          <w:p>
            <w:pPr>
              <w:jc w:val="center"/>
            </w:pPr>
            <w:r/>
            <w:r>
              <w:rPr>
                <w:b/>
                <w:sz w:val="14"/>
              </w:rPr>
              <w:t>Extendibility</w:t>
            </w:r>
          </w:p>
        </w:tc>
        <w:tc>
          <w:tcPr>
            <w:tcW w:type="dxa" w:w="1278"/>
            <w:shd w:fill="D9EAF7"/>
            <w:vAlign w:val="center"/>
          </w:tcPr>
          <w:p>
            <w:pPr>
              <w:jc w:val="center"/>
            </w:pPr>
            <w:r/>
            <w:r>
              <w:rPr>
                <w:b/>
                <w:sz w:val="14"/>
              </w:rPr>
              <w:t>Effectiveness</w:t>
            </w:r>
          </w:p>
        </w:tc>
        <w:tc>
          <w:tcPr>
            <w:tcW w:type="dxa" w:w="1278"/>
            <w:shd w:fill="D9EAF7"/>
            <w:vAlign w:val="center"/>
          </w:tcPr>
          <w:p>
            <w:pPr>
              <w:jc w:val="center"/>
            </w:pPr>
            <w:r/>
            <w:r>
              <w:rPr>
                <w:b/>
                <w:sz w:val="14"/>
              </w:rPr>
              <w:t>TQI</w:t>
            </w:r>
          </w:p>
        </w:tc>
      </w:tr>
      <w:tr>
        <w:tc>
          <w:tcPr>
            <w:tcW w:type="dxa" w:w="1278"/>
            <w:vAlign w:val="center"/>
          </w:tcPr>
          <w:p>
            <w:pPr>
              <w:jc w:val="center"/>
            </w:pPr>
            <w:r/>
            <w:r>
              <w:rPr>
                <w:b w:val="0"/>
                <w:sz w:val="14"/>
              </w:rPr>
              <w:t>v4.0.4</w:t>
            </w:r>
          </w:p>
        </w:tc>
        <w:tc>
          <w:tcPr>
            <w:tcW w:type="dxa" w:w="1278"/>
            <w:vAlign w:val="center"/>
          </w:tcPr>
          <w:p>
            <w:pPr>
              <w:jc w:val="center"/>
            </w:pPr>
            <w:r/>
            <w:r>
              <w:rPr>
                <w:b w:val="0"/>
                <w:sz w:val="14"/>
              </w:rPr>
              <w:t>1.0000</w:t>
            </w:r>
          </w:p>
        </w:tc>
        <w:tc>
          <w:tcPr>
            <w:tcW w:type="dxa" w:w="1278"/>
            <w:vAlign w:val="center"/>
          </w:tcPr>
          <w:p>
            <w:pPr>
              <w:jc w:val="center"/>
            </w:pPr>
            <w:r/>
            <w:r>
              <w:rPr>
                <w:b w:val="0"/>
                <w:sz w:val="14"/>
              </w:rPr>
              <w:t>1.0000</w:t>
            </w:r>
          </w:p>
        </w:tc>
        <w:tc>
          <w:tcPr>
            <w:tcW w:type="dxa" w:w="1278"/>
            <w:vAlign w:val="center"/>
          </w:tcPr>
          <w:p>
            <w:pPr>
              <w:jc w:val="center"/>
            </w:pPr>
            <w:r/>
            <w:r>
              <w:rPr>
                <w:b w:val="0"/>
                <w:sz w:val="14"/>
              </w:rPr>
              <w:t>-0.9900</w:t>
            </w:r>
          </w:p>
        </w:tc>
        <w:tc>
          <w:tcPr>
            <w:tcW w:type="dxa" w:w="1278"/>
            <w:vAlign w:val="center"/>
          </w:tcPr>
          <w:p>
            <w:pPr>
              <w:jc w:val="center"/>
            </w:pPr>
            <w:r/>
            <w:r>
              <w:rPr>
                <w:b w:val="0"/>
                <w:sz w:val="14"/>
              </w:rPr>
              <w:t>1.0000</w:t>
            </w:r>
          </w:p>
        </w:tc>
        <w:tc>
          <w:tcPr>
            <w:tcW w:type="dxa" w:w="1278"/>
            <w:vAlign w:val="center"/>
          </w:tcPr>
          <w:p>
            <w:pPr>
              <w:jc w:val="center"/>
            </w:pPr>
            <w:r/>
            <w:r>
              <w:rPr>
                <w:b w:val="0"/>
                <w:sz w:val="14"/>
              </w:rPr>
              <w:t>1.0000</w:t>
            </w:r>
          </w:p>
        </w:tc>
        <w:tc>
          <w:tcPr>
            <w:tcW w:type="dxa" w:w="1278"/>
            <w:vAlign w:val="center"/>
          </w:tcPr>
          <w:p>
            <w:pPr>
              <w:jc w:val="center"/>
            </w:pPr>
            <w:r/>
            <w:r>
              <w:rPr>
                <w:b w:val="0"/>
                <w:sz w:val="14"/>
              </w:rPr>
              <w:t>1.0000</w:t>
            </w:r>
          </w:p>
        </w:tc>
        <w:tc>
          <w:tcPr>
            <w:tcW w:type="dxa" w:w="1278"/>
            <w:vAlign w:val="center"/>
          </w:tcPr>
          <w:p>
            <w:pPr>
              <w:jc w:val="center"/>
            </w:pPr>
            <w:r/>
            <w:r>
              <w:rPr>
                <w:b w:val="0"/>
                <w:sz w:val="14"/>
              </w:rPr>
              <w:t>4.0100</w:t>
            </w:r>
          </w:p>
        </w:tc>
      </w:tr>
      <w:tr>
        <w:tc>
          <w:tcPr>
            <w:tcW w:type="dxa" w:w="1278"/>
            <w:vAlign w:val="center"/>
          </w:tcPr>
          <w:p>
            <w:pPr>
              <w:jc w:val="center"/>
            </w:pPr>
            <w:r/>
            <w:r>
              <w:rPr>
                <w:b w:val="0"/>
                <w:sz w:val="14"/>
              </w:rPr>
              <w:t>v4.1.0</w:t>
            </w:r>
          </w:p>
        </w:tc>
        <w:tc>
          <w:tcPr>
            <w:tcW w:type="dxa" w:w="1278"/>
            <w:vAlign w:val="center"/>
          </w:tcPr>
          <w:p>
            <w:pPr>
              <w:jc w:val="center"/>
            </w:pPr>
            <w:r/>
            <w:r>
              <w:rPr>
                <w:b w:val="0"/>
                <w:sz w:val="14"/>
              </w:rPr>
              <w:t>1.0063</w:t>
            </w:r>
          </w:p>
        </w:tc>
        <w:tc>
          <w:tcPr>
            <w:tcW w:type="dxa" w:w="1278"/>
            <w:vAlign w:val="center"/>
          </w:tcPr>
          <w:p>
            <w:pPr>
              <w:jc w:val="center"/>
            </w:pPr>
            <w:r/>
            <w:r>
              <w:rPr>
                <w:b w:val="0"/>
                <w:sz w:val="14"/>
              </w:rPr>
              <w:t>1.0029</w:t>
            </w:r>
          </w:p>
        </w:tc>
        <w:tc>
          <w:tcPr>
            <w:tcW w:type="dxa" w:w="1278"/>
            <w:vAlign w:val="center"/>
          </w:tcPr>
          <w:p>
            <w:pPr>
              <w:jc w:val="center"/>
            </w:pPr>
            <w:r/>
            <w:r>
              <w:rPr>
                <w:b w:val="0"/>
                <w:sz w:val="14"/>
              </w:rPr>
              <w:t>-1.0015</w:t>
            </w:r>
          </w:p>
        </w:tc>
        <w:tc>
          <w:tcPr>
            <w:tcW w:type="dxa" w:w="1278"/>
            <w:vAlign w:val="center"/>
          </w:tcPr>
          <w:p>
            <w:pPr>
              <w:jc w:val="center"/>
            </w:pPr>
            <w:r/>
            <w:r>
              <w:rPr>
                <w:b w:val="0"/>
                <w:sz w:val="14"/>
              </w:rPr>
              <w:t>1.0032</w:t>
            </w:r>
          </w:p>
        </w:tc>
        <w:tc>
          <w:tcPr>
            <w:tcW w:type="dxa" w:w="1278"/>
            <w:vAlign w:val="center"/>
          </w:tcPr>
          <w:p>
            <w:pPr>
              <w:jc w:val="center"/>
            </w:pPr>
            <w:r/>
            <w:r>
              <w:rPr>
                <w:b w:val="0"/>
                <w:sz w:val="14"/>
              </w:rPr>
              <w:t>0.9927</w:t>
            </w:r>
          </w:p>
        </w:tc>
        <w:tc>
          <w:tcPr>
            <w:tcW w:type="dxa" w:w="1278"/>
            <w:vAlign w:val="center"/>
          </w:tcPr>
          <w:p>
            <w:pPr>
              <w:jc w:val="center"/>
            </w:pPr>
            <w:r/>
            <w:r>
              <w:rPr>
                <w:b w:val="0"/>
                <w:sz w:val="14"/>
              </w:rPr>
              <w:t>0.9998</w:t>
            </w:r>
          </w:p>
        </w:tc>
        <w:tc>
          <w:tcPr>
            <w:tcW w:type="dxa" w:w="1278"/>
            <w:vAlign w:val="center"/>
          </w:tcPr>
          <w:p>
            <w:pPr>
              <w:jc w:val="center"/>
            </w:pPr>
            <w:r/>
            <w:r>
              <w:rPr>
                <w:b w:val="0"/>
                <w:sz w:val="14"/>
              </w:rPr>
              <w:t>4.0034</w:t>
            </w:r>
          </w:p>
        </w:tc>
      </w:tr>
      <w:tr>
        <w:tc>
          <w:tcPr>
            <w:tcW w:type="dxa" w:w="1278"/>
            <w:vAlign w:val="center"/>
          </w:tcPr>
          <w:p>
            <w:pPr>
              <w:jc w:val="center"/>
            </w:pPr>
            <w:r/>
            <w:r>
              <w:rPr>
                <w:b w:val="0"/>
                <w:sz w:val="14"/>
              </w:rPr>
              <w:t>v4.1.4</w:t>
            </w:r>
          </w:p>
        </w:tc>
        <w:tc>
          <w:tcPr>
            <w:tcW w:type="dxa" w:w="1278"/>
            <w:vAlign w:val="center"/>
          </w:tcPr>
          <w:p>
            <w:pPr>
              <w:jc w:val="center"/>
            </w:pPr>
            <w:r/>
            <w:r>
              <w:rPr>
                <w:b w:val="0"/>
                <w:sz w:val="14"/>
              </w:rPr>
              <w:t>1.0058</w:t>
            </w:r>
          </w:p>
        </w:tc>
        <w:tc>
          <w:tcPr>
            <w:tcW w:type="dxa" w:w="1278"/>
            <w:vAlign w:val="center"/>
          </w:tcPr>
          <w:p>
            <w:pPr>
              <w:jc w:val="center"/>
            </w:pPr>
            <w:r/>
            <w:r>
              <w:rPr>
                <w:b w:val="0"/>
                <w:sz w:val="14"/>
              </w:rPr>
              <w:t>1.0024</w:t>
            </w:r>
          </w:p>
        </w:tc>
        <w:tc>
          <w:tcPr>
            <w:tcW w:type="dxa" w:w="1278"/>
            <w:vAlign w:val="center"/>
          </w:tcPr>
          <w:p>
            <w:pPr>
              <w:jc w:val="center"/>
            </w:pPr>
            <w:r/>
            <w:r>
              <w:rPr>
                <w:b w:val="0"/>
                <w:sz w:val="14"/>
              </w:rPr>
              <w:t>-1.0040</w:t>
            </w:r>
          </w:p>
        </w:tc>
        <w:tc>
          <w:tcPr>
            <w:tcW w:type="dxa" w:w="1278"/>
            <w:vAlign w:val="center"/>
          </w:tcPr>
          <w:p>
            <w:pPr>
              <w:jc w:val="center"/>
            </w:pPr>
            <w:r/>
            <w:r>
              <w:rPr>
                <w:b w:val="0"/>
                <w:sz w:val="14"/>
              </w:rPr>
              <w:t>1.0032</w:t>
            </w:r>
          </w:p>
        </w:tc>
        <w:tc>
          <w:tcPr>
            <w:tcW w:type="dxa" w:w="1278"/>
            <w:vAlign w:val="center"/>
          </w:tcPr>
          <w:p>
            <w:pPr>
              <w:jc w:val="center"/>
            </w:pPr>
            <w:r/>
            <w:r>
              <w:rPr>
                <w:b w:val="0"/>
                <w:sz w:val="14"/>
              </w:rPr>
              <w:t>0.9916</w:t>
            </w:r>
          </w:p>
        </w:tc>
        <w:tc>
          <w:tcPr>
            <w:tcW w:type="dxa" w:w="1278"/>
            <w:vAlign w:val="center"/>
          </w:tcPr>
          <w:p>
            <w:pPr>
              <w:jc w:val="center"/>
            </w:pPr>
            <w:r/>
            <w:r>
              <w:rPr>
                <w:b w:val="0"/>
                <w:sz w:val="14"/>
              </w:rPr>
              <w:t>0.9998</w:t>
            </w:r>
          </w:p>
        </w:tc>
        <w:tc>
          <w:tcPr>
            <w:tcW w:type="dxa" w:w="1278"/>
            <w:vAlign w:val="center"/>
          </w:tcPr>
          <w:p>
            <w:pPr>
              <w:jc w:val="center"/>
            </w:pPr>
            <w:r/>
            <w:r>
              <w:rPr>
                <w:b w:val="0"/>
                <w:sz w:val="14"/>
              </w:rPr>
              <w:t>3.9989</w:t>
            </w:r>
          </w:p>
        </w:tc>
      </w:tr>
      <w:tr>
        <w:tc>
          <w:tcPr>
            <w:tcW w:type="dxa" w:w="1278"/>
            <w:vAlign w:val="center"/>
          </w:tcPr>
          <w:p>
            <w:pPr>
              <w:jc w:val="center"/>
            </w:pPr>
            <w:r/>
            <w:r>
              <w:rPr>
                <w:b w:val="0"/>
                <w:sz w:val="14"/>
              </w:rPr>
              <w:t>v4.2.0</w:t>
            </w:r>
          </w:p>
        </w:tc>
        <w:tc>
          <w:tcPr>
            <w:tcW w:type="dxa" w:w="1278"/>
            <w:vAlign w:val="center"/>
          </w:tcPr>
          <w:p>
            <w:pPr>
              <w:jc w:val="center"/>
            </w:pPr>
            <w:r/>
            <w:r>
              <w:rPr>
                <w:b w:val="0"/>
                <w:sz w:val="14"/>
              </w:rPr>
              <w:t>1.0319</w:t>
            </w:r>
          </w:p>
        </w:tc>
        <w:tc>
          <w:tcPr>
            <w:tcW w:type="dxa" w:w="1278"/>
            <w:vAlign w:val="center"/>
          </w:tcPr>
          <w:p>
            <w:pPr>
              <w:jc w:val="center"/>
            </w:pPr>
            <w:r/>
            <w:r>
              <w:rPr>
                <w:b w:val="0"/>
                <w:sz w:val="14"/>
              </w:rPr>
              <w:t>1.0208</w:t>
            </w:r>
          </w:p>
        </w:tc>
        <w:tc>
          <w:tcPr>
            <w:tcW w:type="dxa" w:w="1278"/>
            <w:vAlign w:val="center"/>
          </w:tcPr>
          <w:p>
            <w:pPr>
              <w:jc w:val="center"/>
            </w:pPr>
            <w:r/>
            <w:r>
              <w:rPr>
                <w:b w:val="0"/>
                <w:sz w:val="14"/>
              </w:rPr>
              <w:t>-1.0268</w:t>
            </w:r>
          </w:p>
        </w:tc>
        <w:tc>
          <w:tcPr>
            <w:tcW w:type="dxa" w:w="1278"/>
            <w:vAlign w:val="center"/>
          </w:tcPr>
          <w:p>
            <w:pPr>
              <w:jc w:val="center"/>
            </w:pPr>
            <w:r/>
            <w:r>
              <w:rPr>
                <w:b w:val="0"/>
                <w:sz w:val="14"/>
              </w:rPr>
              <w:t>1.0152</w:t>
            </w:r>
          </w:p>
        </w:tc>
        <w:tc>
          <w:tcPr>
            <w:tcW w:type="dxa" w:w="1278"/>
            <w:vAlign w:val="center"/>
          </w:tcPr>
          <w:p>
            <w:pPr>
              <w:jc w:val="center"/>
            </w:pPr>
            <w:r/>
            <w:r>
              <w:rPr>
                <w:b w:val="0"/>
                <w:sz w:val="14"/>
              </w:rPr>
              <w:t>0.9768</w:t>
            </w:r>
          </w:p>
        </w:tc>
        <w:tc>
          <w:tcPr>
            <w:tcW w:type="dxa" w:w="1278"/>
            <w:vAlign w:val="center"/>
          </w:tcPr>
          <w:p>
            <w:pPr>
              <w:jc w:val="center"/>
            </w:pPr>
            <w:r/>
            <w:r>
              <w:rPr>
                <w:b w:val="0"/>
                <w:sz w:val="14"/>
              </w:rPr>
              <w:t>1.0033</w:t>
            </w:r>
          </w:p>
        </w:tc>
        <w:tc>
          <w:tcPr>
            <w:tcW w:type="dxa" w:w="1278"/>
            <w:vAlign w:val="center"/>
          </w:tcPr>
          <w:p>
            <w:pPr>
              <w:jc w:val="center"/>
            </w:pPr>
            <w:r/>
            <w:r>
              <w:rPr>
                <w:b w:val="0"/>
                <w:sz w:val="14"/>
              </w:rPr>
              <w:t>4.0211</w:t>
            </w:r>
          </w:p>
        </w:tc>
      </w:tr>
      <w:tr>
        <w:tc>
          <w:tcPr>
            <w:tcW w:type="dxa" w:w="1278"/>
            <w:vAlign w:val="center"/>
          </w:tcPr>
          <w:p>
            <w:pPr>
              <w:jc w:val="center"/>
            </w:pPr>
            <w:r/>
            <w:r>
              <w:rPr>
                <w:b w:val="0"/>
                <w:sz w:val="14"/>
              </w:rPr>
              <w:t>v4.3.0</w:t>
            </w:r>
          </w:p>
        </w:tc>
        <w:tc>
          <w:tcPr>
            <w:tcW w:type="dxa" w:w="1278"/>
            <w:vAlign w:val="center"/>
          </w:tcPr>
          <w:p>
            <w:pPr>
              <w:jc w:val="center"/>
            </w:pPr>
            <w:r/>
            <w:r>
              <w:rPr>
                <w:b w:val="0"/>
                <w:sz w:val="14"/>
              </w:rPr>
              <w:t>1.0655</w:t>
            </w:r>
          </w:p>
        </w:tc>
        <w:tc>
          <w:tcPr>
            <w:tcW w:type="dxa" w:w="1278"/>
            <w:vAlign w:val="center"/>
          </w:tcPr>
          <w:p>
            <w:pPr>
              <w:jc w:val="center"/>
            </w:pPr>
            <w:r/>
            <w:r>
              <w:rPr>
                <w:b w:val="0"/>
                <w:sz w:val="14"/>
              </w:rPr>
              <w:t>1.0458</w:t>
            </w:r>
          </w:p>
        </w:tc>
        <w:tc>
          <w:tcPr>
            <w:tcW w:type="dxa" w:w="1278"/>
            <w:vAlign w:val="center"/>
          </w:tcPr>
          <w:p>
            <w:pPr>
              <w:jc w:val="center"/>
            </w:pPr>
            <w:r/>
            <w:r>
              <w:rPr>
                <w:b w:val="0"/>
                <w:sz w:val="14"/>
              </w:rPr>
              <w:t>-1.0593</w:t>
            </w:r>
          </w:p>
        </w:tc>
        <w:tc>
          <w:tcPr>
            <w:tcW w:type="dxa" w:w="1278"/>
            <w:vAlign w:val="center"/>
          </w:tcPr>
          <w:p>
            <w:pPr>
              <w:jc w:val="center"/>
            </w:pPr>
            <w:r/>
            <w:r>
              <w:rPr>
                <w:b w:val="0"/>
                <w:sz w:val="14"/>
              </w:rPr>
              <w:t>1.0293</w:t>
            </w:r>
          </w:p>
        </w:tc>
        <w:tc>
          <w:tcPr>
            <w:tcW w:type="dxa" w:w="1278"/>
            <w:vAlign w:val="center"/>
          </w:tcPr>
          <w:p>
            <w:pPr>
              <w:jc w:val="center"/>
            </w:pPr>
            <w:r/>
            <w:r>
              <w:rPr>
                <w:b w:val="0"/>
                <w:sz w:val="14"/>
              </w:rPr>
              <w:t>0.9684</w:t>
            </w:r>
          </w:p>
        </w:tc>
        <w:tc>
          <w:tcPr>
            <w:tcW w:type="dxa" w:w="1278"/>
            <w:vAlign w:val="center"/>
          </w:tcPr>
          <w:p>
            <w:pPr>
              <w:jc w:val="center"/>
            </w:pPr>
            <w:r/>
            <w:r>
              <w:rPr>
                <w:b w:val="0"/>
                <w:sz w:val="14"/>
              </w:rPr>
              <w:t>1.0096</w:t>
            </w:r>
          </w:p>
        </w:tc>
        <w:tc>
          <w:tcPr>
            <w:tcW w:type="dxa" w:w="1278"/>
            <w:vAlign w:val="center"/>
          </w:tcPr>
          <w:p>
            <w:pPr>
              <w:jc w:val="center"/>
            </w:pPr>
            <w:r/>
            <w:r>
              <w:rPr>
                <w:b w:val="0"/>
                <w:sz w:val="14"/>
              </w:rPr>
              <w:t>4.0593</w:t>
            </w:r>
          </w:p>
        </w:tc>
      </w:tr>
      <w:tr>
        <w:tc>
          <w:tcPr>
            <w:tcW w:type="dxa" w:w="1278"/>
            <w:vAlign w:val="center"/>
          </w:tcPr>
          <w:p>
            <w:pPr>
              <w:jc w:val="center"/>
            </w:pPr>
            <w:r/>
            <w:r>
              <w:rPr>
                <w:b w:val="0"/>
                <w:sz w:val="14"/>
              </w:rPr>
              <w:t>v4.3.2</w:t>
            </w:r>
          </w:p>
        </w:tc>
        <w:tc>
          <w:tcPr>
            <w:tcW w:type="dxa" w:w="1278"/>
            <w:vAlign w:val="center"/>
          </w:tcPr>
          <w:p>
            <w:pPr>
              <w:jc w:val="center"/>
            </w:pPr>
            <w:r/>
            <w:r>
              <w:rPr>
                <w:b w:val="0"/>
                <w:sz w:val="14"/>
              </w:rPr>
              <w:t>1.0705</w:t>
            </w:r>
          </w:p>
        </w:tc>
        <w:tc>
          <w:tcPr>
            <w:tcW w:type="dxa" w:w="1278"/>
            <w:vAlign w:val="center"/>
          </w:tcPr>
          <w:p>
            <w:pPr>
              <w:jc w:val="center"/>
            </w:pPr>
            <w:r/>
            <w:r>
              <w:rPr>
                <w:b w:val="0"/>
                <w:sz w:val="14"/>
              </w:rPr>
              <w:t>1.0466</w:t>
            </w:r>
          </w:p>
        </w:tc>
        <w:tc>
          <w:tcPr>
            <w:tcW w:type="dxa" w:w="1278"/>
            <w:vAlign w:val="center"/>
          </w:tcPr>
          <w:p>
            <w:pPr>
              <w:jc w:val="center"/>
            </w:pPr>
            <w:r/>
            <w:r>
              <w:rPr>
                <w:b w:val="0"/>
                <w:sz w:val="14"/>
              </w:rPr>
              <w:t>-1.0611</w:t>
            </w:r>
          </w:p>
        </w:tc>
        <w:tc>
          <w:tcPr>
            <w:tcW w:type="dxa" w:w="1278"/>
            <w:vAlign w:val="center"/>
          </w:tcPr>
          <w:p>
            <w:pPr>
              <w:jc w:val="center"/>
            </w:pPr>
            <w:r/>
            <w:r>
              <w:rPr>
                <w:b w:val="0"/>
                <w:sz w:val="14"/>
              </w:rPr>
              <w:t>1.0314</w:t>
            </w:r>
          </w:p>
        </w:tc>
        <w:tc>
          <w:tcPr>
            <w:tcW w:type="dxa" w:w="1278"/>
            <w:vAlign w:val="center"/>
          </w:tcPr>
          <w:p>
            <w:pPr>
              <w:jc w:val="center"/>
            </w:pPr>
            <w:r/>
            <w:r>
              <w:rPr>
                <w:b w:val="0"/>
                <w:sz w:val="14"/>
              </w:rPr>
              <w:t>0.9775</w:t>
            </w:r>
          </w:p>
        </w:tc>
        <w:tc>
          <w:tcPr>
            <w:tcW w:type="dxa" w:w="1278"/>
            <w:vAlign w:val="center"/>
          </w:tcPr>
          <w:p>
            <w:pPr>
              <w:jc w:val="center"/>
            </w:pPr>
            <w:r/>
            <w:r>
              <w:rPr>
                <w:b w:val="0"/>
                <w:sz w:val="14"/>
              </w:rPr>
              <w:t>1.0131</w:t>
            </w:r>
          </w:p>
        </w:tc>
        <w:tc>
          <w:tcPr>
            <w:tcW w:type="dxa" w:w="1278"/>
            <w:vAlign w:val="center"/>
          </w:tcPr>
          <w:p>
            <w:pPr>
              <w:jc w:val="center"/>
            </w:pPr>
            <w:r/>
            <w:r>
              <w:rPr>
                <w:b w:val="0"/>
                <w:sz w:val="14"/>
              </w:rPr>
              <w:t>4.0780</w:t>
            </w:r>
          </w:p>
        </w:tc>
      </w:tr>
      <w:tr>
        <w:tc>
          <w:tcPr>
            <w:tcW w:type="dxa" w:w="1278"/>
            <w:vAlign w:val="center"/>
          </w:tcPr>
          <w:p>
            <w:pPr>
              <w:jc w:val="center"/>
            </w:pPr>
            <w:r/>
            <w:r>
              <w:rPr>
                <w:b w:val="0"/>
                <w:sz w:val="14"/>
              </w:rPr>
              <w:t>v4.4.0</w:t>
            </w:r>
          </w:p>
        </w:tc>
        <w:tc>
          <w:tcPr>
            <w:tcW w:type="dxa" w:w="1278"/>
            <w:vAlign w:val="center"/>
          </w:tcPr>
          <w:p>
            <w:pPr>
              <w:jc w:val="center"/>
            </w:pPr>
            <w:r/>
            <w:r>
              <w:rPr>
                <w:b w:val="0"/>
                <w:sz w:val="14"/>
              </w:rPr>
              <w:t>1.0803</w:t>
            </w:r>
          </w:p>
        </w:tc>
        <w:tc>
          <w:tcPr>
            <w:tcW w:type="dxa" w:w="1278"/>
            <w:vAlign w:val="center"/>
          </w:tcPr>
          <w:p>
            <w:pPr>
              <w:jc w:val="center"/>
            </w:pPr>
            <w:r/>
            <w:r>
              <w:rPr>
                <w:b w:val="0"/>
                <w:sz w:val="14"/>
              </w:rPr>
              <w:t>1.0564</w:t>
            </w:r>
          </w:p>
        </w:tc>
        <w:tc>
          <w:tcPr>
            <w:tcW w:type="dxa" w:w="1278"/>
            <w:vAlign w:val="center"/>
          </w:tcPr>
          <w:p>
            <w:pPr>
              <w:jc w:val="center"/>
            </w:pPr>
            <w:r/>
            <w:r>
              <w:rPr>
                <w:b w:val="0"/>
                <w:sz w:val="14"/>
              </w:rPr>
              <w:t>-1.0910</w:t>
            </w:r>
          </w:p>
        </w:tc>
        <w:tc>
          <w:tcPr>
            <w:tcW w:type="dxa" w:w="1278"/>
            <w:vAlign w:val="center"/>
          </w:tcPr>
          <w:p>
            <w:pPr>
              <w:jc w:val="center"/>
            </w:pPr>
            <w:r/>
            <w:r>
              <w:rPr>
                <w:b w:val="0"/>
                <w:sz w:val="14"/>
              </w:rPr>
              <w:t>1.0346</w:t>
            </w:r>
          </w:p>
        </w:tc>
        <w:tc>
          <w:tcPr>
            <w:tcW w:type="dxa" w:w="1278"/>
            <w:vAlign w:val="center"/>
          </w:tcPr>
          <w:p>
            <w:pPr>
              <w:jc w:val="center"/>
            </w:pPr>
            <w:r/>
            <w:r>
              <w:rPr>
                <w:b w:val="0"/>
                <w:sz w:val="14"/>
              </w:rPr>
              <w:t>0.9864</w:t>
            </w:r>
          </w:p>
        </w:tc>
        <w:tc>
          <w:tcPr>
            <w:tcW w:type="dxa" w:w="1278"/>
            <w:vAlign w:val="center"/>
          </w:tcPr>
          <w:p>
            <w:pPr>
              <w:jc w:val="center"/>
            </w:pPr>
            <w:r/>
            <w:r>
              <w:rPr>
                <w:b w:val="0"/>
                <w:sz w:val="14"/>
              </w:rPr>
              <w:t>1.0195</w:t>
            </w:r>
          </w:p>
        </w:tc>
        <w:tc>
          <w:tcPr>
            <w:tcW w:type="dxa" w:w="1278"/>
            <w:vAlign w:val="center"/>
          </w:tcPr>
          <w:p>
            <w:pPr>
              <w:jc w:val="center"/>
            </w:pPr>
            <w:r/>
            <w:r>
              <w:rPr>
                <w:b w:val="0"/>
                <w:sz w:val="14"/>
              </w:rPr>
              <w:t>4.0863</w:t>
            </w:r>
          </w:p>
        </w:tc>
      </w:tr>
      <w:tr>
        <w:tc>
          <w:tcPr>
            <w:tcW w:type="dxa" w:w="1278"/>
            <w:vAlign w:val="center"/>
          </w:tcPr>
          <w:p>
            <w:pPr>
              <w:jc w:val="center"/>
            </w:pPr>
            <w:r/>
            <w:r>
              <w:rPr>
                <w:b w:val="0"/>
                <w:sz w:val="14"/>
              </w:rPr>
              <w:t>v4.5.2</w:t>
            </w:r>
          </w:p>
        </w:tc>
        <w:tc>
          <w:tcPr>
            <w:tcW w:type="dxa" w:w="1278"/>
            <w:vAlign w:val="center"/>
          </w:tcPr>
          <w:p>
            <w:pPr>
              <w:jc w:val="center"/>
            </w:pPr>
            <w:r/>
            <w:r>
              <w:rPr>
                <w:b w:val="0"/>
                <w:sz w:val="14"/>
              </w:rPr>
              <w:t>1.0809</w:t>
            </w:r>
          </w:p>
        </w:tc>
        <w:tc>
          <w:tcPr>
            <w:tcW w:type="dxa" w:w="1278"/>
            <w:vAlign w:val="center"/>
          </w:tcPr>
          <w:p>
            <w:pPr>
              <w:jc w:val="center"/>
            </w:pPr>
            <w:r/>
            <w:r>
              <w:rPr>
                <w:b w:val="0"/>
                <w:sz w:val="14"/>
              </w:rPr>
              <w:t>1.0552</w:t>
            </w:r>
          </w:p>
        </w:tc>
        <w:tc>
          <w:tcPr>
            <w:tcW w:type="dxa" w:w="1278"/>
            <w:vAlign w:val="center"/>
          </w:tcPr>
          <w:p>
            <w:pPr>
              <w:jc w:val="center"/>
            </w:pPr>
            <w:r/>
            <w:r>
              <w:rPr>
                <w:b w:val="0"/>
                <w:sz w:val="14"/>
              </w:rPr>
              <w:t>-1.0938</w:t>
            </w:r>
          </w:p>
        </w:tc>
        <w:tc>
          <w:tcPr>
            <w:tcW w:type="dxa" w:w="1278"/>
            <w:vAlign w:val="center"/>
          </w:tcPr>
          <w:p>
            <w:pPr>
              <w:jc w:val="center"/>
            </w:pPr>
            <w:r/>
            <w:r>
              <w:rPr>
                <w:b w:val="0"/>
                <w:sz w:val="14"/>
              </w:rPr>
              <w:t>1.0354</w:t>
            </w:r>
          </w:p>
        </w:tc>
        <w:tc>
          <w:tcPr>
            <w:tcW w:type="dxa" w:w="1278"/>
            <w:vAlign w:val="center"/>
          </w:tcPr>
          <w:p>
            <w:pPr>
              <w:jc w:val="center"/>
            </w:pPr>
            <w:r/>
            <w:r>
              <w:rPr>
                <w:b w:val="0"/>
                <w:sz w:val="14"/>
              </w:rPr>
              <w:t>0.9840</w:t>
            </w:r>
          </w:p>
        </w:tc>
        <w:tc>
          <w:tcPr>
            <w:tcW w:type="dxa" w:w="1278"/>
            <w:vAlign w:val="center"/>
          </w:tcPr>
          <w:p>
            <w:pPr>
              <w:jc w:val="center"/>
            </w:pPr>
            <w:r/>
            <w:r>
              <w:rPr>
                <w:b w:val="0"/>
                <w:sz w:val="14"/>
              </w:rPr>
              <w:t>1.0195</w:t>
            </w:r>
          </w:p>
        </w:tc>
        <w:tc>
          <w:tcPr>
            <w:tcW w:type="dxa" w:w="1278"/>
            <w:vAlign w:val="center"/>
          </w:tcPr>
          <w:p>
            <w:pPr>
              <w:jc w:val="center"/>
            </w:pPr>
            <w:r/>
            <w:r>
              <w:rPr>
                <w:b w:val="0"/>
                <w:sz w:val="14"/>
              </w:rPr>
              <w:t>4.0812</w:t>
            </w:r>
          </w:p>
        </w:tc>
      </w:tr>
      <w:tr>
        <w:tc>
          <w:tcPr>
            <w:tcW w:type="dxa" w:w="1278"/>
            <w:vAlign w:val="center"/>
          </w:tcPr>
          <w:p>
            <w:pPr>
              <w:jc w:val="center"/>
            </w:pPr>
            <w:r/>
            <w:r>
              <w:rPr>
                <w:b w:val="0"/>
                <w:sz w:val="14"/>
              </w:rPr>
              <w:t>v4.6.3</w:t>
            </w:r>
          </w:p>
        </w:tc>
        <w:tc>
          <w:tcPr>
            <w:tcW w:type="dxa" w:w="1278"/>
            <w:vAlign w:val="center"/>
          </w:tcPr>
          <w:p>
            <w:pPr>
              <w:jc w:val="center"/>
            </w:pPr>
            <w:r/>
            <w:r>
              <w:rPr>
                <w:b w:val="0"/>
                <w:sz w:val="14"/>
              </w:rPr>
              <w:t>1.0927</w:t>
            </w:r>
          </w:p>
        </w:tc>
        <w:tc>
          <w:tcPr>
            <w:tcW w:type="dxa" w:w="1278"/>
            <w:vAlign w:val="center"/>
          </w:tcPr>
          <w:p>
            <w:pPr>
              <w:jc w:val="center"/>
            </w:pPr>
            <w:r/>
            <w:r>
              <w:rPr>
                <w:b w:val="0"/>
                <w:sz w:val="14"/>
              </w:rPr>
              <w:t>1.0911</w:t>
            </w:r>
          </w:p>
        </w:tc>
        <w:tc>
          <w:tcPr>
            <w:tcW w:type="dxa" w:w="1278"/>
            <w:vAlign w:val="center"/>
          </w:tcPr>
          <w:p>
            <w:pPr>
              <w:jc w:val="center"/>
            </w:pPr>
            <w:r/>
            <w:r>
              <w:rPr>
                <w:b w:val="0"/>
                <w:sz w:val="14"/>
              </w:rPr>
              <w:t>-1.1419</w:t>
            </w:r>
          </w:p>
        </w:tc>
        <w:tc>
          <w:tcPr>
            <w:tcW w:type="dxa" w:w="1278"/>
            <w:vAlign w:val="center"/>
          </w:tcPr>
          <w:p>
            <w:pPr>
              <w:jc w:val="center"/>
            </w:pPr>
            <w:r/>
            <w:r>
              <w:rPr>
                <w:b w:val="0"/>
                <w:sz w:val="14"/>
              </w:rPr>
              <w:t>1.0403</w:t>
            </w:r>
          </w:p>
        </w:tc>
        <w:tc>
          <w:tcPr>
            <w:tcW w:type="dxa" w:w="1278"/>
            <w:vAlign w:val="center"/>
          </w:tcPr>
          <w:p>
            <w:pPr>
              <w:jc w:val="center"/>
            </w:pPr>
            <w:r/>
            <w:r>
              <w:rPr>
                <w:b w:val="0"/>
                <w:sz w:val="14"/>
              </w:rPr>
              <w:t>0.9688</w:t>
            </w:r>
          </w:p>
        </w:tc>
        <w:tc>
          <w:tcPr>
            <w:tcW w:type="dxa" w:w="1278"/>
            <w:vAlign w:val="center"/>
          </w:tcPr>
          <w:p>
            <w:pPr>
              <w:jc w:val="center"/>
            </w:pPr>
            <w:r/>
            <w:r>
              <w:rPr>
                <w:b w:val="0"/>
                <w:sz w:val="14"/>
              </w:rPr>
              <w:t>1.0293</w:t>
            </w:r>
          </w:p>
        </w:tc>
        <w:tc>
          <w:tcPr>
            <w:tcW w:type="dxa" w:w="1278"/>
            <w:vAlign w:val="center"/>
          </w:tcPr>
          <w:p>
            <w:pPr>
              <w:jc w:val="center"/>
            </w:pPr>
            <w:r/>
            <w:r>
              <w:rPr>
                <w:b w:val="0"/>
                <w:sz w:val="14"/>
              </w:rPr>
              <w:t>4.0804</w:t>
            </w:r>
          </w:p>
        </w:tc>
      </w:tr>
      <w:tr>
        <w:tc>
          <w:tcPr>
            <w:tcW w:type="dxa" w:w="1278"/>
            <w:vAlign w:val="center"/>
          </w:tcPr>
          <w:p>
            <w:pPr>
              <w:jc w:val="center"/>
            </w:pPr>
            <w:r/>
            <w:r>
              <w:rPr>
                <w:b w:val="0"/>
                <w:sz w:val="14"/>
              </w:rPr>
              <w:t>v4.7.7</w:t>
            </w:r>
          </w:p>
        </w:tc>
        <w:tc>
          <w:tcPr>
            <w:tcW w:type="dxa" w:w="1278"/>
            <w:vAlign w:val="center"/>
          </w:tcPr>
          <w:p>
            <w:pPr>
              <w:jc w:val="center"/>
            </w:pPr>
            <w:r/>
            <w:r>
              <w:rPr>
                <w:b w:val="0"/>
                <w:sz w:val="14"/>
              </w:rPr>
              <w:t>1.1132</w:t>
            </w:r>
          </w:p>
        </w:tc>
        <w:tc>
          <w:tcPr>
            <w:tcW w:type="dxa" w:w="1278"/>
            <w:vAlign w:val="center"/>
          </w:tcPr>
          <w:p>
            <w:pPr>
              <w:jc w:val="center"/>
            </w:pPr>
            <w:r/>
            <w:r>
              <w:rPr>
                <w:b w:val="0"/>
                <w:sz w:val="14"/>
              </w:rPr>
              <w:t>1.1054</w:t>
            </w:r>
          </w:p>
        </w:tc>
        <w:tc>
          <w:tcPr>
            <w:tcW w:type="dxa" w:w="1278"/>
            <w:vAlign w:val="center"/>
          </w:tcPr>
          <w:p>
            <w:pPr>
              <w:jc w:val="center"/>
            </w:pPr>
            <w:r/>
            <w:r>
              <w:rPr>
                <w:b w:val="0"/>
                <w:sz w:val="14"/>
              </w:rPr>
              <w:t>-1.1579</w:t>
            </w:r>
          </w:p>
        </w:tc>
        <w:tc>
          <w:tcPr>
            <w:tcW w:type="dxa" w:w="1278"/>
            <w:vAlign w:val="center"/>
          </w:tcPr>
          <w:p>
            <w:pPr>
              <w:jc w:val="center"/>
            </w:pPr>
            <w:r/>
            <w:r>
              <w:rPr>
                <w:b w:val="0"/>
                <w:sz w:val="14"/>
              </w:rPr>
              <w:t>1.0498</w:t>
            </w:r>
          </w:p>
        </w:tc>
        <w:tc>
          <w:tcPr>
            <w:tcW w:type="dxa" w:w="1278"/>
            <w:vAlign w:val="center"/>
          </w:tcPr>
          <w:p>
            <w:pPr>
              <w:jc w:val="center"/>
            </w:pPr>
            <w:r/>
            <w:r>
              <w:rPr>
                <w:b w:val="0"/>
                <w:sz w:val="14"/>
              </w:rPr>
              <w:t>0.9578</w:t>
            </w:r>
          </w:p>
        </w:tc>
        <w:tc>
          <w:tcPr>
            <w:tcW w:type="dxa" w:w="1278"/>
            <w:vAlign w:val="center"/>
          </w:tcPr>
          <w:p>
            <w:pPr>
              <w:jc w:val="center"/>
            </w:pPr>
            <w:r/>
            <w:r>
              <w:rPr>
                <w:b w:val="0"/>
                <w:sz w:val="14"/>
              </w:rPr>
              <w:t>1.0332</w:t>
            </w:r>
          </w:p>
        </w:tc>
        <w:tc>
          <w:tcPr>
            <w:tcW w:type="dxa" w:w="1278"/>
            <w:vAlign w:val="center"/>
          </w:tcPr>
          <w:p>
            <w:pPr>
              <w:jc w:val="center"/>
            </w:pPr>
            <w:r/>
            <w:r>
              <w:rPr>
                <w:b w:val="0"/>
                <w:sz w:val="14"/>
              </w:rPr>
              <w:t>4.1015</w:t>
            </w:r>
          </w:p>
        </w:tc>
      </w:tr>
    </w:tbl>
    <w:p/>
    <w:p>
      <w:r>
        <w:rPr>
          <w:rFonts w:ascii="Calibri" w:hAnsi="Calibri"/>
        </w:rPr>
        <w:t>QMOOD skorları incelendiğinde TQI değerinin v4.0.4 sürümünde 4.0100, v4.7.7 sürümünde ise 4.1015 olduğu görülmektedir. Bu değişim yaklaşık %2.28’lik göreli artışa karşılık gelir. Artışın temel kaynağı reusability, flexibility, functionality ve effectiveness niteliklerindeki yükselmedir. Buna karşılık understandability değeri -0.9900’dan -1.1579’a düşmüştür.</w:t>
      </w:r>
    </w:p>
    <w:p>
      <w:pPr>
        <w:jc w:val="center"/>
      </w:pPr>
      <w:r>
        <w:rPr>
          <w:rFonts w:ascii="Calibri" w:hAnsi="Calibri"/>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01_tqi_trend.png"/>
                    <pic:cNvPicPr/>
                  </pic:nvPicPr>
                  <pic:blipFill>
                    <a:blip r:embed="rId15"/>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7. QMOOD Total Quality Index (TQI) trendi</w:t>
      </w:r>
    </w:p>
    <w:p>
      <w:pPr>
        <w:jc w:val="center"/>
      </w:pPr>
      <w:r>
        <w:rPr>
          <w:rFonts w:ascii="Calibri" w:hAnsi="Calibri"/>
        </w:rP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10_tqi_percent_change.png"/>
                    <pic:cNvPicPr/>
                  </pic:nvPicPr>
                  <pic:blipFill>
                    <a:blip r:embed="rId16"/>
                    <a:stretch>
                      <a:fillRect/>
                    </a:stretch>
                  </pic:blipFill>
                  <pic:spPr>
                    <a:xfrm>
                      <a:off x="0" y="0"/>
                      <a:ext cx="5486400" cy="3086100"/>
                    </a:xfrm>
                    <a:prstGeom prst="rect"/>
                  </pic:spPr>
                </pic:pic>
              </a:graphicData>
            </a:graphic>
          </wp:inline>
        </w:drawing>
      </w:r>
    </w:p>
    <w:p>
      <w:pPr>
        <w:pStyle w:val="Caption"/>
        <w:jc w:val="center"/>
      </w:pPr>
      <w:r>
        <w:rPr>
          <w:rFonts w:ascii="Calibri" w:hAnsi="Calibri"/>
        </w:rPr>
        <w:t>Şekil 8. v4.0.4 referansına göre TQI yüzde değişimi</w:t>
      </w:r>
    </w:p>
    <w:p>
      <w:pPr>
        <w:jc w:val="center"/>
      </w:pPr>
      <w:r>
        <w:rPr>
          <w:rFonts w:ascii="Calibri" w:hAnsi="Calibri"/>
        </w:rP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02_qmood_quality_attributes.png"/>
                    <pic:cNvPicPr/>
                  </pic:nvPicPr>
                  <pic:blipFill>
                    <a:blip r:embed="rId17"/>
                    <a:stretch>
                      <a:fillRect/>
                    </a:stretch>
                  </pic:blipFill>
                  <pic:spPr>
                    <a:xfrm>
                      <a:off x="0" y="0"/>
                      <a:ext cx="5486400" cy="3048000"/>
                    </a:xfrm>
                    <a:prstGeom prst="rect"/>
                  </pic:spPr>
                </pic:pic>
              </a:graphicData>
            </a:graphic>
          </wp:inline>
        </w:drawing>
      </w:r>
    </w:p>
    <w:p>
      <w:pPr>
        <w:pStyle w:val="Caption"/>
        <w:jc w:val="center"/>
      </w:pPr>
      <w:r>
        <w:rPr>
          <w:rFonts w:ascii="Calibri" w:hAnsi="Calibri"/>
        </w:rPr>
        <w:t>Şekil 9. QMOOD kalite nitelikleri trendi</w:t>
      </w:r>
    </w:p>
    <w:p>
      <w:pPr>
        <w:jc w:val="center"/>
      </w:pPr>
      <w:r>
        <w:rPr>
          <w:rFonts w:ascii="Calibri" w:hAnsi="Calibri"/>
        </w:rPr>
        <w:drawing>
          <wp:inline xmlns:a="http://schemas.openxmlformats.org/drawingml/2006/main" xmlns:pic="http://schemas.openxmlformats.org/drawingml/2006/picture">
            <wp:extent cx="5486400" cy="2992338"/>
            <wp:docPr id="10" name="Picture 10"/>
            <wp:cNvGraphicFramePr>
              <a:graphicFrameLocks noChangeAspect="1"/>
            </wp:cNvGraphicFramePr>
            <a:graphic>
              <a:graphicData uri="http://schemas.openxmlformats.org/drawingml/2006/picture">
                <pic:pic>
                  <pic:nvPicPr>
                    <pic:cNvPr id="0" name="09_qmood_design_properties.png"/>
                    <pic:cNvPicPr/>
                  </pic:nvPicPr>
                  <pic:blipFill>
                    <a:blip r:embed="rId18"/>
                    <a:stretch>
                      <a:fillRect/>
                    </a:stretch>
                  </pic:blipFill>
                  <pic:spPr>
                    <a:xfrm>
                      <a:off x="0" y="0"/>
                      <a:ext cx="5486400" cy="2992338"/>
                    </a:xfrm>
                    <a:prstGeom prst="rect"/>
                  </pic:spPr>
                </pic:pic>
              </a:graphicData>
            </a:graphic>
          </wp:inline>
        </w:drawing>
      </w:r>
    </w:p>
    <w:p>
      <w:pPr>
        <w:pStyle w:val="Caption"/>
        <w:jc w:val="center"/>
      </w:pPr>
      <w:r>
        <w:rPr>
          <w:rFonts w:ascii="Calibri" w:hAnsi="Calibri"/>
        </w:rPr>
        <w:t>Şekil 10. Normalize QMOOD tasarım özellikleri trendi</w:t>
      </w:r>
    </w:p>
    <w:p>
      <w:r>
        <w:rPr>
          <w:rFonts w:ascii="Calibri" w:hAnsi="Calibri"/>
        </w:rPr>
        <w:t>Normalize QMOOD tasarım özellikleri trendi incelendiğinde design size, messaging ve complexity göstergelerinin arttığı; cohesion göstergesinin ise LCOM artışına paralel olarak düştüğü görülmektedir. Coupling göstergesi daha sınırlı bir artış sergilemektedir. Bu sonuç, sistemin işlevsel ve yapısal olarak genişlerken anlaşılabilirlik ve iç uyum açısından baskı altında kaldığını desteklemektedir.</w:t>
      </w:r>
    </w:p>
    <w:p>
      <w:pPr>
        <w:pStyle w:val="Heading2"/>
      </w:pPr>
      <w:r>
        <w:rPr>
          <w:rFonts w:ascii="Calibri" w:hAnsi="Calibri"/>
        </w:rPr>
        <w:t>5.3. Bulguların Özeti</w:t>
      </w:r>
    </w:p>
    <w:p>
      <w:pPr>
        <w:pStyle w:val="ListBullet"/>
      </w:pPr>
      <w:r>
        <w:rPr>
          <w:rFonts w:ascii="Calibri" w:hAnsi="Calibri"/>
        </w:rPr>
        <w:t>Picocli incelenen sürümler boyunca büyümüştür: sınıf sayısı yaklaşık %14.1, metot sayısı yaklaşık %21.8 artmıştır.</w:t>
      </w:r>
    </w:p>
    <w:p>
      <w:pPr>
        <w:pStyle w:val="ListBullet"/>
      </w:pPr>
      <w:r>
        <w:rPr>
          <w:rFonts w:ascii="Calibri" w:hAnsi="Calibri"/>
        </w:rPr>
        <w:t>TQI değeri 4.0100’dan 4.1015’e yükselmiştir; bu artış yaklaşık %2.28 düzeyindedir.</w:t>
      </w:r>
    </w:p>
    <w:p>
      <w:pPr>
        <w:pStyle w:val="ListBullet"/>
      </w:pPr>
      <w:r>
        <w:rPr>
          <w:rFonts w:ascii="Calibri" w:hAnsi="Calibri"/>
        </w:rPr>
        <w:t>Reusability ve flexibility değerleri artmıştır. Bu durum public servislerin ve tasarımın kullanım/uyarlanabilirlik kapasitesinin yükseldiğini düşündürmektedir.</w:t>
      </w:r>
    </w:p>
    <w:p>
      <w:pPr>
        <w:pStyle w:val="ListBullet"/>
      </w:pPr>
      <w:r>
        <w:rPr>
          <w:rFonts w:ascii="Calibri" w:hAnsi="Calibri"/>
        </w:rPr>
        <w:t>Understandability değeri düşmüştür. Bu düşüş, WMC, RFC ve LCOM artışlarıyla birlikte yorumlandığında karmaşıklık ve bakım riski oluşturabilir.</w:t>
      </w:r>
    </w:p>
    <w:p>
      <w:pPr>
        <w:pStyle w:val="ListBullet"/>
      </w:pPr>
      <w:r>
        <w:rPr>
          <w:rFonts w:ascii="Calibri" w:hAnsi="Calibri"/>
        </w:rPr>
        <w:t>DIT değerinde belirgin artış görülmemiştir; bu durum kalıtım derinliğinin kontrol altında kaldığını göstermektedir.</w:t>
      </w:r>
    </w:p>
    <w:p>
      <w:pPr>
        <w:pStyle w:val="ListBullet"/>
      </w:pPr>
      <w:r>
        <w:rPr>
          <w:rFonts w:ascii="Calibri" w:hAnsi="Calibri"/>
        </w:rPr>
        <w:t>Extendibility değerinde hafif düşüş gözlenmiştir. Bu durum coupling ve kullanılan proxy metriklerin etkisiyle yorumlanmalıdır.</w:t>
      </w:r>
    </w:p>
    <w:p>
      <w:pPr>
        <w:pStyle w:val="Heading1"/>
      </w:pPr>
      <w:r>
        <w:rPr>
          <w:rFonts w:ascii="Calibri" w:hAnsi="Calibri"/>
        </w:rPr>
        <w:t>6. Tartışma</w:t>
      </w:r>
    </w:p>
    <w:p>
      <w:pPr>
        <w:pStyle w:val="Heading2"/>
      </w:pPr>
      <w:r>
        <w:rPr>
          <w:rFonts w:ascii="Calibri" w:hAnsi="Calibri"/>
        </w:rPr>
        <w:t>6.1. Yazılım Evrimi ve Kalite Dengesi</w:t>
      </w:r>
    </w:p>
    <w:p>
      <w:r>
        <w:rPr>
          <w:rFonts w:ascii="Calibri" w:hAnsi="Calibri"/>
        </w:rPr>
        <w:t>Analiz sonuçları, picocli projesinin işlevsel olarak genişlediğini ancak bu genişlemenin anlaşılabilirlik üzerinde olumsuz bir etki yarattığını göstermektedir. Yazılım evriminde sık karşılaşılan bu durum, yeni özelliklerin ve servislerin eklenmesiyle birlikte sınıf sorumluluklarının genişlemesi ve metotlar arası uyumun azalması şeklinde yorumlanabilir.</w:t>
      </w:r>
    </w:p>
    <w:p>
      <w:pPr>
        <w:pStyle w:val="Heading2"/>
      </w:pPr>
      <w:r>
        <w:rPr>
          <w:rFonts w:ascii="Calibri" w:hAnsi="Calibri"/>
        </w:rPr>
        <w:t>6.2. Mimari Bozulma ve Teknik Borç Göstergeleri</w:t>
      </w:r>
    </w:p>
    <w:p>
      <w:r>
        <w:rPr>
          <w:rFonts w:ascii="Calibri" w:hAnsi="Calibri"/>
        </w:rPr>
        <w:t>Mimari bozulma açısından en önemli gösterge LCOM değerindeki artıştır. LCOM artışı, bazı sınıfların birden fazla sorumluluk taşımaya başlamış olabileceğini gösterir. Bu nedenle özellikle yüksek LCOM, yüksek WMC ve yüksek RFC değerlerine sahip sınıflar ayrıntılı olarak incelenmelidir. Bu sınıflar için Extract Class, Extract Method, sorumluluk ayrıştırma ve arayüz sadeleştirme gibi refactoring teknikleri önerilebilir.</w:t>
      </w:r>
    </w:p>
    <w:p>
      <w:r>
        <w:rPr>
          <w:rFonts w:ascii="Calibri" w:hAnsi="Calibri"/>
        </w:rPr>
        <w:t>Coupling değerinde çok keskin bir artış gözlenmemiştir; ancak son sürümlerde ortalama CBO değerinin 5.0411’e yükselmesi modülerlik açısından izlenmelidir. Bağımlılığı yüksek sınıflarda facade/controller sorumluluklarının gereğinden fazla büyüyüp büyümediği kontrol edilmelidir.</w:t>
      </w:r>
    </w:p>
    <w:p>
      <w:pPr>
        <w:pStyle w:val="Heading2"/>
      </w:pPr>
      <w:r>
        <w:rPr>
          <w:rFonts w:ascii="Calibri" w:hAnsi="Calibri"/>
        </w:rPr>
        <w:t>6.3. Sınırlılıklar</w:t>
      </w:r>
    </w:p>
    <w:p>
      <w:r>
        <w:rPr>
          <w:rFonts w:ascii="Calibri" w:hAnsi="Calibri"/>
        </w:rPr>
        <w:t>Bu çalışmada QMOOD’un özgün metriklerinin tamamı doğrudan elde edilemediği için bazı tasarım özellikleri proxy metriklerle temsil edilmiştir. Cohesion için TCC yerine LCOM tabanlı ters dönüşüm kullanılmıştır. Composition, inheritance ve polymorphism için de CK Tool çıktılarından türetilmiş yaklaşık göstergeler kullanılmıştır. Bu nedenle elde edilen QMOOD skorları mutlak kalite hükmü olarak değil, seçilen yöntem kapsamında sürümler arası göreli değişim göstergesi olarak değerlendirilmelidir.</w:t>
      </w:r>
    </w:p>
    <w:p>
      <w:pPr>
        <w:pStyle w:val="Heading2"/>
      </w:pPr>
      <w:r>
        <w:rPr>
          <w:rFonts w:ascii="Calibri" w:hAnsi="Calibri"/>
        </w:rPr>
        <w:t>6.4. LLM Destekli Değerlendirme İçin Hazırlık</w:t>
      </w:r>
    </w:p>
    <w:p>
      <w:r>
        <w:rPr>
          <w:rFonts w:ascii="Calibri" w:hAnsi="Calibri"/>
        </w:rPr>
        <w:t>Proje yönergesi en az üç farklı LLM modelinden kalite değerlendirmesi alınmasını istemektedir. Bu çalışmada QMOOD ve CK metrik sonuçları aynı ana prompt ile Gemini, DeepSeek ve Claude modellerine verilmiştir. Modellerden genel kalite değerlendirmesi, bakım yapılabilirlik analizi, teknik borç yorumu, mimari kalite yorumu ve refactoring önerileri istenmiştir. Elde edilen yanıtlar metriklere bağlılık, teknik doğruluk, tutarlılık, refactoring kalitesi, halüsinasyon riski, trend analizi ve sınırlılık farkındalığı ölçütleriyle eleştirel olarak değerlendirilmiştir. Kullanılan promptlar ve değerlendirme rubriği Ek A’da verilmiştir.</w:t>
      </w:r>
    </w:p>
    <w:p>
      <w:pPr>
        <w:pStyle w:val="Heading2"/>
      </w:pPr>
      <w:r>
        <w:rPr>
          <w:rFonts w:ascii="Calibri" w:hAnsi="Calibri"/>
        </w:rPr>
        <w:t>6.5. LLM Çıktılarının Karşılaştırmalı Analizi</w:t>
      </w:r>
    </w:p>
    <w:p>
      <w:pPr/>
      <w:r>
        <w:rPr>
          <w:rFonts w:ascii="Calibri" w:hAnsi="Calibri"/>
        </w:rPr>
        <w:t>LLM deneyinde üç farklı modelden alınan cevaplar karşılaştırılmıştır: Gemini, DeepSeek ve Claude. Aynı veri seti ve aynı ana prompt kullanıldığı için modellerin cevapları doğrudan karşılaştırılabilir hale getirilmiştir. Cevapların tamamı TQI değerindeki sınırlı artışı, Reusability/Flexibility/Functionality artışını ve Understandability düşüşünü yakalamıştır. Bununla birlikte modellerin bazıları verilen ortalama metriklerin ötesine geçerek God Class, SRP/OCP ihlali veya composition kullanımının artması gibi doğrudan kanıtlanamayan çıkarımlar yapmıştır. Bu nedenle LLM çıktıları nihai kanıt olarak değil, metrik tabanlı analizleri yorumlamaya yardımcı nitel değerlendirme çıktıları olarak kullanılmıştır.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vAlign w:val="center"/>
          </w:tcPr>
          <w:p>
            <w:pPr>
              <w:jc w:val="center"/>
            </w:pPr>
            <w:r/>
            <w:r>
              <w:rPr>
                <w:rFonts w:ascii="Calibri" w:hAnsi="Calibri"/>
                <w:b/>
                <w:sz w:val="14"/>
              </w:rPr>
              <w:t>Model</w:t>
            </w:r>
          </w:p>
        </w:tc>
        <w:tc>
          <w:tcPr>
            <w:tcW w:type="dxa" w:w="1461"/>
            <w:shd w:fill="D9EAF7"/>
            <w:vAlign w:val="center"/>
          </w:tcPr>
          <w:p>
            <w:pPr>
              <w:jc w:val="center"/>
            </w:pPr>
            <w:r/>
            <w:r>
              <w:rPr>
                <w:rFonts w:ascii="Calibri" w:hAnsi="Calibri"/>
                <w:b/>
                <w:sz w:val="14"/>
              </w:rPr>
              <w:t>Metriklere bağlılık</w:t>
            </w:r>
          </w:p>
        </w:tc>
        <w:tc>
          <w:tcPr>
            <w:tcW w:type="dxa" w:w="1461"/>
            <w:shd w:fill="D9EAF7"/>
            <w:vAlign w:val="center"/>
          </w:tcPr>
          <w:p>
            <w:pPr>
              <w:jc w:val="center"/>
            </w:pPr>
            <w:r/>
            <w:r>
              <w:rPr>
                <w:rFonts w:ascii="Calibri" w:hAnsi="Calibri"/>
                <w:b/>
                <w:sz w:val="14"/>
              </w:rPr>
              <w:t>Teknik doğruluk</w:t>
            </w:r>
          </w:p>
        </w:tc>
        <w:tc>
          <w:tcPr>
            <w:tcW w:type="dxa" w:w="1461"/>
            <w:shd w:fill="D9EAF7"/>
            <w:vAlign w:val="center"/>
          </w:tcPr>
          <w:p>
            <w:pPr>
              <w:jc w:val="center"/>
            </w:pPr>
            <w:r/>
            <w:r>
              <w:rPr>
                <w:rFonts w:ascii="Calibri" w:hAnsi="Calibri"/>
                <w:b/>
                <w:sz w:val="14"/>
              </w:rPr>
              <w:t>Refactoring kalitesi</w:t>
            </w:r>
          </w:p>
        </w:tc>
        <w:tc>
          <w:tcPr>
            <w:tcW w:type="dxa" w:w="1461"/>
            <w:shd w:fill="D9EAF7"/>
            <w:vAlign w:val="center"/>
          </w:tcPr>
          <w:p>
            <w:pPr>
              <w:jc w:val="center"/>
            </w:pPr>
            <w:r/>
            <w:r>
              <w:rPr>
                <w:rFonts w:ascii="Calibri" w:hAnsi="Calibri"/>
                <w:b/>
                <w:sz w:val="14"/>
              </w:rPr>
              <w:t>Halüsinasyon kontrolü</w:t>
            </w:r>
          </w:p>
        </w:tc>
        <w:tc>
          <w:tcPr>
            <w:tcW w:type="dxa" w:w="1461"/>
            <w:shd w:fill="D9EAF7"/>
            <w:vAlign w:val="center"/>
          </w:tcPr>
          <w:p>
            <w:pPr>
              <w:jc w:val="center"/>
            </w:pPr>
            <w:r/>
            <w:r>
              <w:rPr>
                <w:rFonts w:ascii="Calibri" w:hAnsi="Calibri"/>
                <w:b/>
                <w:sz w:val="14"/>
              </w:rPr>
              <w:t>Trend analizi</w:t>
            </w:r>
          </w:p>
        </w:tc>
        <w:tc>
          <w:tcPr>
            <w:tcW w:type="dxa" w:w="1461"/>
            <w:shd w:fill="D9EAF7"/>
            <w:vAlign w:val="center"/>
          </w:tcPr>
          <w:p>
            <w:pPr>
              <w:jc w:val="center"/>
            </w:pPr>
            <w:r/>
            <w:r>
              <w:rPr>
                <w:rFonts w:ascii="Calibri" w:hAnsi="Calibri"/>
                <w:b/>
                <w:sz w:val="14"/>
              </w:rPr>
              <w:t>Genel puan</w:t>
            </w:r>
          </w:p>
        </w:tc>
      </w:tr>
      <w:tr>
        <w:tc>
          <w:tcPr>
            <w:tcW w:type="dxa" w:w="1461"/>
            <w:vAlign w:val="center"/>
          </w:tcPr>
          <w:p>
            <w:pPr>
              <w:jc w:val="center"/>
            </w:pPr>
            <w:r/>
            <w:r>
              <w:rPr>
                <w:rFonts w:ascii="Calibri" w:hAnsi="Calibri"/>
                <w:b w:val="0"/>
                <w:sz w:val="14"/>
              </w:rPr>
              <w:t>Gemini</w:t>
            </w:r>
          </w:p>
        </w:tc>
        <w:tc>
          <w:tcPr>
            <w:tcW w:type="dxa" w:w="1461"/>
            <w:vAlign w:val="center"/>
          </w:tcPr>
          <w:p>
            <w:pPr>
              <w:jc w:val="center"/>
            </w:pPr>
            <w:r/>
            <w:r>
              <w:rPr>
                <w:rFonts w:ascii="Calibri" w:hAnsi="Calibri"/>
                <w:b w:val="0"/>
                <w:sz w:val="14"/>
              </w:rPr>
              <w:t>5</w:t>
            </w:r>
          </w:p>
        </w:tc>
        <w:tc>
          <w:tcPr>
            <w:tcW w:type="dxa" w:w="1461"/>
            <w:vAlign w:val="center"/>
          </w:tcPr>
          <w:p>
            <w:pPr>
              <w:jc w:val="center"/>
            </w:pPr>
            <w:r/>
            <w:r>
              <w:rPr>
                <w:rFonts w:ascii="Calibri" w:hAnsi="Calibri"/>
                <w:b w:val="0"/>
                <w:sz w:val="14"/>
              </w:rPr>
              <w:t>4</w:t>
            </w:r>
          </w:p>
        </w:tc>
        <w:tc>
          <w:tcPr>
            <w:tcW w:type="dxa" w:w="1461"/>
            <w:vAlign w:val="center"/>
          </w:tcPr>
          <w:p>
            <w:pPr>
              <w:jc w:val="center"/>
            </w:pPr>
            <w:r/>
            <w:r>
              <w:rPr>
                <w:rFonts w:ascii="Calibri" w:hAnsi="Calibri"/>
                <w:b w:val="0"/>
                <w:sz w:val="14"/>
              </w:rPr>
              <w:t>4</w:t>
            </w:r>
          </w:p>
        </w:tc>
        <w:tc>
          <w:tcPr>
            <w:tcW w:type="dxa" w:w="1461"/>
            <w:vAlign w:val="center"/>
          </w:tcPr>
          <w:p>
            <w:pPr>
              <w:jc w:val="center"/>
            </w:pPr>
            <w:r/>
            <w:r>
              <w:rPr>
                <w:rFonts w:ascii="Calibri" w:hAnsi="Calibri"/>
                <w:b w:val="0"/>
                <w:sz w:val="14"/>
              </w:rPr>
              <w:t>3</w:t>
            </w:r>
          </w:p>
        </w:tc>
        <w:tc>
          <w:tcPr>
            <w:tcW w:type="dxa" w:w="1461"/>
            <w:vAlign w:val="center"/>
          </w:tcPr>
          <w:p>
            <w:pPr>
              <w:jc w:val="center"/>
            </w:pPr>
            <w:r/>
            <w:r>
              <w:rPr>
                <w:rFonts w:ascii="Calibri" w:hAnsi="Calibri"/>
                <w:b w:val="0"/>
                <w:sz w:val="14"/>
              </w:rPr>
              <w:t>5</w:t>
            </w:r>
          </w:p>
        </w:tc>
        <w:tc>
          <w:tcPr>
            <w:tcW w:type="dxa" w:w="1461"/>
            <w:vAlign w:val="center"/>
          </w:tcPr>
          <w:p>
            <w:pPr>
              <w:jc w:val="center"/>
            </w:pPr>
            <w:r/>
            <w:r>
              <w:rPr>
                <w:rFonts w:ascii="Calibri" w:hAnsi="Calibri"/>
                <w:b w:val="0"/>
                <w:sz w:val="14"/>
              </w:rPr>
              <w:t>21/25</w:t>
            </w:r>
          </w:p>
        </w:tc>
      </w:tr>
      <w:tr>
        <w:tc>
          <w:tcPr>
            <w:tcW w:type="dxa" w:w="1461"/>
            <w:vAlign w:val="center"/>
          </w:tcPr>
          <w:p>
            <w:pPr>
              <w:jc w:val="center"/>
            </w:pPr>
            <w:r/>
            <w:r>
              <w:rPr>
                <w:rFonts w:ascii="Calibri" w:hAnsi="Calibri"/>
                <w:b w:val="0"/>
                <w:sz w:val="14"/>
              </w:rPr>
              <w:t>DeepSeek</w:t>
            </w:r>
          </w:p>
        </w:tc>
        <w:tc>
          <w:tcPr>
            <w:tcW w:type="dxa" w:w="1461"/>
            <w:vAlign w:val="center"/>
          </w:tcPr>
          <w:p>
            <w:pPr>
              <w:jc w:val="center"/>
            </w:pPr>
            <w:r/>
            <w:r>
              <w:rPr>
                <w:rFonts w:ascii="Calibri" w:hAnsi="Calibri"/>
                <w:b w:val="0"/>
                <w:sz w:val="14"/>
              </w:rPr>
              <w:t>5</w:t>
            </w:r>
          </w:p>
        </w:tc>
        <w:tc>
          <w:tcPr>
            <w:tcW w:type="dxa" w:w="1461"/>
            <w:vAlign w:val="center"/>
          </w:tcPr>
          <w:p>
            <w:pPr>
              <w:jc w:val="center"/>
            </w:pPr>
            <w:r/>
            <w:r>
              <w:rPr>
                <w:rFonts w:ascii="Calibri" w:hAnsi="Calibri"/>
                <w:b w:val="0"/>
                <w:sz w:val="14"/>
              </w:rPr>
              <w:t>3</w:t>
            </w:r>
          </w:p>
        </w:tc>
        <w:tc>
          <w:tcPr>
            <w:tcW w:type="dxa" w:w="1461"/>
            <w:vAlign w:val="center"/>
          </w:tcPr>
          <w:p>
            <w:pPr>
              <w:jc w:val="center"/>
            </w:pPr>
            <w:r/>
            <w:r>
              <w:rPr>
                <w:rFonts w:ascii="Calibri" w:hAnsi="Calibri"/>
                <w:b w:val="0"/>
                <w:sz w:val="14"/>
              </w:rPr>
              <w:t>3</w:t>
            </w:r>
          </w:p>
        </w:tc>
        <w:tc>
          <w:tcPr>
            <w:tcW w:type="dxa" w:w="1461"/>
            <w:vAlign w:val="center"/>
          </w:tcPr>
          <w:p>
            <w:pPr>
              <w:jc w:val="center"/>
            </w:pPr>
            <w:r/>
            <w:r>
              <w:rPr>
                <w:rFonts w:ascii="Calibri" w:hAnsi="Calibri"/>
                <w:b w:val="0"/>
                <w:sz w:val="14"/>
              </w:rPr>
              <w:t>3</w:t>
            </w:r>
          </w:p>
        </w:tc>
        <w:tc>
          <w:tcPr>
            <w:tcW w:type="dxa" w:w="1461"/>
            <w:vAlign w:val="center"/>
          </w:tcPr>
          <w:p>
            <w:pPr>
              <w:jc w:val="center"/>
            </w:pPr>
            <w:r/>
            <w:r>
              <w:rPr>
                <w:rFonts w:ascii="Calibri" w:hAnsi="Calibri"/>
                <w:b w:val="0"/>
                <w:sz w:val="14"/>
              </w:rPr>
              <w:t>5</w:t>
            </w:r>
          </w:p>
        </w:tc>
        <w:tc>
          <w:tcPr>
            <w:tcW w:type="dxa" w:w="1461"/>
            <w:vAlign w:val="center"/>
          </w:tcPr>
          <w:p>
            <w:pPr>
              <w:jc w:val="center"/>
            </w:pPr>
            <w:r/>
            <w:r>
              <w:rPr>
                <w:rFonts w:ascii="Calibri" w:hAnsi="Calibri"/>
                <w:b w:val="0"/>
                <w:sz w:val="14"/>
              </w:rPr>
              <w:t>19/25</w:t>
            </w:r>
          </w:p>
        </w:tc>
      </w:tr>
      <w:tr>
        <w:tc>
          <w:tcPr>
            <w:tcW w:type="dxa" w:w="1461"/>
            <w:vAlign w:val="center"/>
          </w:tcPr>
          <w:p>
            <w:pPr>
              <w:jc w:val="center"/>
            </w:pPr>
            <w:r/>
            <w:r>
              <w:rPr>
                <w:rFonts w:ascii="Calibri" w:hAnsi="Calibri"/>
                <w:b w:val="0"/>
                <w:sz w:val="14"/>
              </w:rPr>
              <w:t>Claude</w:t>
            </w:r>
          </w:p>
        </w:tc>
        <w:tc>
          <w:tcPr>
            <w:tcW w:type="dxa" w:w="1461"/>
            <w:vAlign w:val="center"/>
          </w:tcPr>
          <w:p>
            <w:pPr>
              <w:jc w:val="center"/>
            </w:pPr>
            <w:r/>
            <w:r>
              <w:rPr>
                <w:rFonts w:ascii="Calibri" w:hAnsi="Calibri"/>
                <w:b w:val="0"/>
                <w:sz w:val="14"/>
              </w:rPr>
              <w:t>5</w:t>
            </w:r>
          </w:p>
        </w:tc>
        <w:tc>
          <w:tcPr>
            <w:tcW w:type="dxa" w:w="1461"/>
            <w:vAlign w:val="center"/>
          </w:tcPr>
          <w:p>
            <w:pPr>
              <w:jc w:val="center"/>
            </w:pPr>
            <w:r/>
            <w:r>
              <w:rPr>
                <w:rFonts w:ascii="Calibri" w:hAnsi="Calibri"/>
                <w:b w:val="0"/>
                <w:sz w:val="14"/>
              </w:rPr>
              <w:t>4</w:t>
            </w:r>
          </w:p>
        </w:tc>
        <w:tc>
          <w:tcPr>
            <w:tcW w:type="dxa" w:w="1461"/>
            <w:vAlign w:val="center"/>
          </w:tcPr>
          <w:p>
            <w:pPr>
              <w:jc w:val="center"/>
            </w:pPr>
            <w:r/>
            <w:r>
              <w:rPr>
                <w:rFonts w:ascii="Calibri" w:hAnsi="Calibri"/>
                <w:b w:val="0"/>
                <w:sz w:val="14"/>
              </w:rPr>
              <w:t>4</w:t>
            </w:r>
          </w:p>
        </w:tc>
        <w:tc>
          <w:tcPr>
            <w:tcW w:type="dxa" w:w="1461"/>
            <w:vAlign w:val="center"/>
          </w:tcPr>
          <w:p>
            <w:pPr>
              <w:jc w:val="center"/>
            </w:pPr>
            <w:r/>
            <w:r>
              <w:rPr>
                <w:rFonts w:ascii="Calibri" w:hAnsi="Calibri"/>
                <w:b w:val="0"/>
                <w:sz w:val="14"/>
              </w:rPr>
              <w:t>3</w:t>
            </w:r>
          </w:p>
        </w:tc>
        <w:tc>
          <w:tcPr>
            <w:tcW w:type="dxa" w:w="1461"/>
            <w:vAlign w:val="center"/>
          </w:tcPr>
          <w:p>
            <w:pPr>
              <w:jc w:val="center"/>
            </w:pPr>
            <w:r/>
            <w:r>
              <w:rPr>
                <w:rFonts w:ascii="Calibri" w:hAnsi="Calibri"/>
                <w:b w:val="0"/>
                <w:sz w:val="14"/>
              </w:rPr>
              <w:t>5</w:t>
            </w:r>
          </w:p>
        </w:tc>
        <w:tc>
          <w:tcPr>
            <w:tcW w:type="dxa" w:w="1461"/>
            <w:vAlign w:val="center"/>
          </w:tcPr>
          <w:p>
            <w:pPr>
              <w:jc w:val="center"/>
            </w:pPr>
            <w:r/>
            <w:r>
              <w:rPr>
                <w:rFonts w:ascii="Calibri" w:hAnsi="Calibri"/>
                <w:b w:val="0"/>
                <w:sz w:val="14"/>
              </w:rPr>
              <w:t>21/25</w:t>
            </w:r>
          </w:p>
        </w:tc>
      </w:tr>
    </w:tbl>
    <w:p>
      <w:pPr>
        <w:pStyle w:val="Caption"/>
        <w:jc w:val="center"/>
      </w:pPr>
      <w:r>
        <w:rPr>
          <w:rFonts w:ascii="Calibri" w:hAnsi="Calibri"/>
        </w:rPr>
        <w:t>Tablo 5. LLM model çıktılarının rubrik temelli karşılaştırması</w:t>
      </w:r>
    </w:p>
    <w:p>
      <w:pPr/>
      <w:r>
        <w:rPr>
          <w:rFonts w:ascii="Calibri" w:hAnsi="Calibri"/>
        </w:rPr>
        <w:t>Tablo 5’e göre Gemini ve Claude genel puanda en yüksek değeri almıştır. Gemini, metriklerle uyumlu ve dengeli yorumlar üretirken; Claude, akademik anlatım ve sınırlılık farkındalığı açısından güçlü bir çıktı vermiştir. DeepSeek ise proxy metrikler, normalizasyon ve ortalama değerlerin sınıf düzeyindeki uç değerleri gizleyebileceği gibi sınırlılıkları en ayrıntılı ele alan model olmuştur. Buna rağmen DeepSeek’in DAM metriğini soyutlama göstergesi gibi yorumlaması teknik doğruluk puanını düşürmüştür. DAM bu çalışmada encapsulation için kullanılan veri erişim/kapsülleme oranıdır.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center"/>
            </w:pPr>
            <w:r/>
            <w:r>
              <w:rPr>
                <w:rFonts w:ascii="Calibri" w:hAnsi="Calibri"/>
                <w:b/>
                <w:sz w:val="14"/>
              </w:rPr>
              <w:t>Model</w:t>
            </w:r>
          </w:p>
        </w:tc>
        <w:tc>
          <w:tcPr>
            <w:tcW w:type="dxa" w:w="3408"/>
            <w:shd w:fill="D9EAF7"/>
            <w:vAlign w:val="center"/>
          </w:tcPr>
          <w:p>
            <w:pPr>
              <w:jc w:val="center"/>
            </w:pPr>
            <w:r/>
            <w:r>
              <w:rPr>
                <w:rFonts w:ascii="Calibri" w:hAnsi="Calibri"/>
                <w:b/>
                <w:sz w:val="14"/>
              </w:rPr>
              <w:t>Güçlü yönler</w:t>
            </w:r>
          </w:p>
        </w:tc>
        <w:tc>
          <w:tcPr>
            <w:tcW w:type="dxa" w:w="3408"/>
            <w:shd w:fill="D9EAF7"/>
            <w:vAlign w:val="center"/>
          </w:tcPr>
          <w:p>
            <w:pPr>
              <w:jc w:val="center"/>
            </w:pPr>
            <w:r/>
            <w:r>
              <w:rPr>
                <w:rFonts w:ascii="Calibri" w:hAnsi="Calibri"/>
                <w:b/>
                <w:sz w:val="14"/>
              </w:rPr>
              <w:t>Eleştirel notlar</w:t>
            </w:r>
          </w:p>
        </w:tc>
      </w:tr>
      <w:tr>
        <w:tc>
          <w:tcPr>
            <w:tcW w:type="dxa" w:w="3408"/>
            <w:vAlign w:val="center"/>
          </w:tcPr>
          <w:p>
            <w:pPr>
              <w:jc w:val="center"/>
            </w:pPr>
            <w:r/>
            <w:r>
              <w:rPr>
                <w:rFonts w:ascii="Calibri" w:hAnsi="Calibri"/>
                <w:b w:val="0"/>
                <w:sz w:val="14"/>
              </w:rPr>
              <w:t>Gemini</w:t>
            </w:r>
          </w:p>
        </w:tc>
        <w:tc>
          <w:tcPr>
            <w:tcW w:type="dxa" w:w="3408"/>
            <w:vAlign w:val="center"/>
          </w:tcPr>
          <w:p>
            <w:pPr>
              <w:jc w:val="center"/>
            </w:pPr>
            <w:r/>
            <w:r>
              <w:rPr>
                <w:rFonts w:ascii="Calibri" w:hAnsi="Calibri"/>
                <w:b w:val="0"/>
                <w:sz w:val="14"/>
              </w:rPr>
              <w:t>TQI artışını sınırlı yorumladı; WMC, RFC ve LCOM artışını bakım riskiyle ilişkilendirdi; CBO artışını abartmadı.</w:t>
            </w:r>
          </w:p>
        </w:tc>
        <w:tc>
          <w:tcPr>
            <w:tcW w:type="dxa" w:w="3408"/>
            <w:vAlign w:val="center"/>
          </w:tcPr>
          <w:p>
            <w:pPr>
              <w:jc w:val="center"/>
            </w:pPr>
            <w:r/>
            <w:r>
              <w:rPr>
                <w:rFonts w:ascii="Calibri" w:hAnsi="Calibri"/>
                <w:b w:val="0"/>
                <w:sz w:val="14"/>
              </w:rPr>
              <w:t>God Class ve Lehman kanunları gibi verilen veriden doğrudan kanıtlanamayan kavramlara yer verdi.</w:t>
            </w:r>
          </w:p>
        </w:tc>
      </w:tr>
      <w:tr>
        <w:tc>
          <w:tcPr>
            <w:tcW w:type="dxa" w:w="3408"/>
            <w:vAlign w:val="center"/>
          </w:tcPr>
          <w:p>
            <w:pPr>
              <w:jc w:val="center"/>
            </w:pPr>
            <w:r/>
            <w:r>
              <w:rPr>
                <w:rFonts w:ascii="Calibri" w:hAnsi="Calibri"/>
                <w:b w:val="0"/>
                <w:sz w:val="14"/>
              </w:rPr>
              <w:t>DeepSeek</w:t>
            </w:r>
          </w:p>
        </w:tc>
        <w:tc>
          <w:tcPr>
            <w:tcW w:type="dxa" w:w="3408"/>
            <w:vAlign w:val="center"/>
          </w:tcPr>
          <w:p>
            <w:pPr>
              <w:jc w:val="center"/>
            </w:pPr>
            <w:r/>
            <w:r>
              <w:rPr>
                <w:rFonts w:ascii="Calibri" w:hAnsi="Calibri"/>
                <w:b w:val="0"/>
                <w:sz w:val="14"/>
              </w:rPr>
              <w:t>TQI’nin tek başına yanıltıcı olabileceğini, normalizasyon ve proxy metrik sınırlılıklarını güçlü biçimde vurguladı.</w:t>
            </w:r>
          </w:p>
        </w:tc>
        <w:tc>
          <w:tcPr>
            <w:tcW w:type="dxa" w:w="3408"/>
            <w:vAlign w:val="center"/>
          </w:tcPr>
          <w:p>
            <w:pPr>
              <w:jc w:val="center"/>
            </w:pPr>
            <w:r/>
            <w:r>
              <w:rPr>
                <w:rFonts w:ascii="Calibri" w:hAnsi="Calibri"/>
                <w:b w:val="0"/>
                <w:sz w:val="14"/>
              </w:rPr>
              <w:t>DAM metriğini hatalı biçimde soyutlama göstergesi gibi yorumladı; OCP/SRP çıkarımlarında fazla kesin konuştu.</w:t>
            </w:r>
          </w:p>
        </w:tc>
      </w:tr>
      <w:tr>
        <w:tc>
          <w:tcPr>
            <w:tcW w:type="dxa" w:w="3408"/>
            <w:vAlign w:val="center"/>
          </w:tcPr>
          <w:p>
            <w:pPr>
              <w:jc w:val="center"/>
            </w:pPr>
            <w:r/>
            <w:r>
              <w:rPr>
                <w:rFonts w:ascii="Calibri" w:hAnsi="Calibri"/>
                <w:b w:val="0"/>
                <w:sz w:val="14"/>
              </w:rPr>
              <w:t>Claude</w:t>
            </w:r>
          </w:p>
        </w:tc>
        <w:tc>
          <w:tcPr>
            <w:tcW w:type="dxa" w:w="3408"/>
            <w:vAlign w:val="center"/>
          </w:tcPr>
          <w:p>
            <w:pPr>
              <w:jc w:val="center"/>
            </w:pPr>
            <w:r/>
            <w:r>
              <w:rPr>
                <w:rFonts w:ascii="Calibri" w:hAnsi="Calibri"/>
                <w:b w:val="0"/>
                <w:sz w:val="14"/>
              </w:rPr>
              <w:t>En akademik ve yapılandırılmış yanıtı verdi; DAM/encapsulation yorumunu doğru yaptı; sınırlılıkları iyi belirtti.</w:t>
            </w:r>
          </w:p>
        </w:tc>
        <w:tc>
          <w:tcPr>
            <w:tcW w:type="dxa" w:w="3408"/>
            <w:vAlign w:val="center"/>
          </w:tcPr>
          <w:p>
            <w:pPr>
              <w:jc w:val="center"/>
            </w:pPr>
            <w:r/>
            <w:r>
              <w:rPr>
                <w:rFonts w:ascii="Calibri" w:hAnsi="Calibri"/>
                <w:b w:val="0"/>
                <w:sz w:val="14"/>
              </w:rPr>
              <w:t>God Class, big ball of mud, OCP ihlali ve composition’a yönelme gibi çıkarımları ortalama metriklerle kesin kanıtlanamaz.</w:t>
            </w:r>
          </w:p>
        </w:tc>
      </w:tr>
    </w:tbl>
    <w:p>
      <w:pPr>
        <w:pStyle w:val="Caption"/>
        <w:jc w:val="center"/>
      </w:pPr>
      <w:r>
        <w:rPr>
          <w:rFonts w:ascii="Calibri" w:hAnsi="Calibri"/>
        </w:rPr>
        <w:t>Tablo 6. LLM cevaplarının nitel değerlendirme özeti</w:t>
      </w:r>
    </w:p>
    <w:p>
      <w:pPr>
        <w:pStyle w:val="Heading3"/>
      </w:pPr>
      <w:r>
        <w:rPr>
          <w:rFonts w:ascii="Calibri" w:hAnsi="Calibri"/>
        </w:rPr>
        <w:t>6.5.1. Model Bazlı Yorumlar</w:t>
      </w:r>
    </w:p>
    <w:p>
      <w:pPr/>
      <w:r>
        <w:rPr>
          <w:rFonts w:ascii="Calibri" w:hAnsi="Calibri"/>
        </w:rPr>
        <w:t>Gemini cevabı, metriklere bağlılık açısından güçlüdür. Class count, method count, WMC, RFC, LCOM, CBO, DIT ve TQI değerlerini açıkça kullanmıştır. Model, TQI artışının genel kalite artışı olarak tek başına yorumlanmaması gerektiğini belirtmiş ve Understandability düşüşünü WMC/RFC/LCOM artışıyla ilişkilendirmiştir. Ancak God Class ve Lehman kanunları gibi bazı ifadeleri verilen veri setinden doğrudan kanıtlanamadığı için raporda yumuşatılarak kullanılmalıdır.</w:t>
      </w:r>
    </w:p>
    <w:p>
      <w:pPr/>
      <w:r>
        <w:rPr>
          <w:rFonts w:ascii="Calibri" w:hAnsi="Calibri"/>
        </w:rPr>
        <w:t>DeepSeek cevabı, sınırlılık farkındalığı açısından güçlüdür. Proxy metrikler, v4.0.4 referansına göre normalizasyon, ortalama değerlerin aykırı sınıfları gizleyebilmesi ve test kapsamı eksikliği gibi noktaları açıkça tartışmıştır. Bununla birlikte DAM metriğini “sınıfların ne kadar soyut olduğu” şeklinde yorumlaması teknik bir hatadır. DAM, QMOOD bağlamında veri erişimi/kapsülleme ile ilişkilidir. Bu nedenle DeepSeek çıktısı raporda düzeltme notuyla kullanılmalıdır.</w:t>
      </w:r>
    </w:p>
    <w:p>
      <w:pPr/>
      <w:r>
        <w:rPr>
          <w:rFonts w:ascii="Calibri" w:hAnsi="Calibri"/>
        </w:rPr>
        <w:t>Claude cevabı, anlatım yapısı ve akademik üslup bakımından güçlüdür. DAM değerinin 0.773-0.779 aralığında kararlı kalmasını veri gizleme/encapsulation pratiğiyle ilişkilendirmesi doğrudur. Model ayrıca TQI artışının Understandability ve Extendibility düşüşünü perdeleyebileceğini açık biçimde belirtmiştir. Ancak SRP/OCP ihlali, God Class riski ve composition’a yönelme gibi yorumlar sınıf düzeyi veri veya kod diff analizi olmadan kesin sonuç olarak sunulmamalıdır.</w:t>
      </w:r>
    </w:p>
    <w:p>
      <w:pPr>
        <w:pStyle w:val="Heading3"/>
      </w:pPr>
      <w:r>
        <w:rPr>
          <w:rFonts w:ascii="Calibri" w:hAnsi="Calibri"/>
        </w:rPr>
        <w:t>6.5.2. Ortak Bulgular ve Ayrışmalar</w:t>
      </w:r>
    </w:p>
    <w:p>
      <w:pPr/>
      <w:r>
        <w:rPr>
          <w:rFonts w:ascii="Calibri" w:hAnsi="Calibri"/>
        </w:rPr>
        <w:t>Üç modelin ortak bulgusu, picocli’nin incelenen sürümler boyunca işlevsel olarak büyüdüğü ve TQI değerinin küçük fakat pozitif bir artış gösterdiğidir. Modellerin tamamı Reusability, Flexibility, Functionality ve Effectiveness niteliklerindeki artışı olumlu; Understandability ve Extendibility değerlerindeki düşüşü ise bakım yapılabilirlik açısından riskli yorumlamıştır. Ayrışma noktası, modellerin metriklerden ne kadar ileri çıkarım yaptığıdır. Gemini ve Claude bazı kavramsal genellemelere giderken, DeepSeek sınırlılıkları daha fazla vurgulamış ancak DAM yorumunda hata yapmıştır.</w:t>
      </w:r>
    </w:p>
    <w:p>
      <w:pPr/>
      <w:r>
        <w:rPr>
          <w:rFonts w:ascii="Calibri" w:hAnsi="Calibri"/>
        </w:rPr>
        <w:t>LLM sonuçları QMOOD analizini genel olarak desteklemektedir: LCOM artışı cohesion kaybı, WMC/RFC artışı karmaşıklık ve test edilebilirlik riski, CBO’daki sınırlı artış ise coupling’in henüz kontrol dışına çıkmadığı şeklinde yorumlanmıştır. Bununla birlikte LLM’lerin ürettiği sonuçlar sınıf düzeyi kanıtlarla desteklenmedikçe nihai mimari teşhis olarak kabul edilmemelidir.</w:t>
      </w:r>
    </w:p>
    <w:p>
      <w:r>
        <w:rPr>
          <w:rFonts w:ascii="Calibri" w:hAnsi="Calibri"/>
        </w:rPr>
        <w:br w:type="page"/>
      </w:r>
    </w:p>
    <w:p>
      <w:pPr>
        <w:pStyle w:val="Heading3"/>
      </w:pPr>
      <w:r>
        <w:rPr>
          <w:rFonts w:ascii="Calibri" w:hAnsi="Calibri"/>
        </w:rPr>
        <w:t>6.5.3. Refactoring Önerilerinin Birleştirilmiş Özeti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jc w:val="center"/>
            </w:pPr>
            <w:r/>
            <w:r>
              <w:rPr>
                <w:rFonts w:ascii="Calibri" w:hAnsi="Calibri"/>
                <w:b/>
                <w:sz w:val="14"/>
              </w:rPr>
              <w:t>Öncelik</w:t>
            </w:r>
          </w:p>
        </w:tc>
        <w:tc>
          <w:tcPr>
            <w:tcW w:type="dxa" w:w="2556"/>
            <w:shd w:fill="D9EAF7"/>
            <w:vAlign w:val="center"/>
          </w:tcPr>
          <w:p>
            <w:pPr>
              <w:jc w:val="center"/>
            </w:pPr>
            <w:r/>
            <w:r>
              <w:rPr>
                <w:rFonts w:ascii="Calibri" w:hAnsi="Calibri"/>
                <w:b/>
                <w:sz w:val="14"/>
              </w:rPr>
              <w:t>Birleştirilmiş refactoring önerisi</w:t>
            </w:r>
          </w:p>
        </w:tc>
        <w:tc>
          <w:tcPr>
            <w:tcW w:type="dxa" w:w="2556"/>
            <w:shd w:fill="D9EAF7"/>
            <w:vAlign w:val="center"/>
          </w:tcPr>
          <w:p>
            <w:pPr>
              <w:jc w:val="center"/>
            </w:pPr>
            <w:r/>
            <w:r>
              <w:rPr>
                <w:rFonts w:ascii="Calibri" w:hAnsi="Calibri"/>
                <w:b/>
                <w:sz w:val="14"/>
              </w:rPr>
              <w:t>Dayandığı metrik</w:t>
            </w:r>
          </w:p>
        </w:tc>
        <w:tc>
          <w:tcPr>
            <w:tcW w:type="dxa" w:w="2556"/>
            <w:shd w:fill="D9EAF7"/>
            <w:vAlign w:val="center"/>
          </w:tcPr>
          <w:p>
            <w:pPr>
              <w:jc w:val="center"/>
            </w:pPr>
            <w:r/>
            <w:r>
              <w:rPr>
                <w:rFonts w:ascii="Calibri" w:hAnsi="Calibri"/>
                <w:b/>
                <w:sz w:val="14"/>
              </w:rPr>
              <w:t>Beklenen kalite etkisi</w:t>
            </w:r>
          </w:p>
        </w:tc>
      </w:tr>
      <w:tr>
        <w:tc>
          <w:tcPr>
            <w:tcW w:type="dxa" w:w="2556"/>
            <w:vAlign w:val="center"/>
          </w:tcPr>
          <w:p>
            <w:pPr>
              <w:jc w:val="center"/>
            </w:pPr>
            <w:r/>
            <w:r>
              <w:rPr>
                <w:rFonts w:ascii="Calibri" w:hAnsi="Calibri"/>
                <w:b w:val="0"/>
                <w:sz w:val="14"/>
              </w:rPr>
              <w:t>1</w:t>
            </w:r>
          </w:p>
        </w:tc>
        <w:tc>
          <w:tcPr>
            <w:tcW w:type="dxa" w:w="2556"/>
            <w:vAlign w:val="center"/>
          </w:tcPr>
          <w:p>
            <w:pPr>
              <w:jc w:val="center"/>
            </w:pPr>
            <w:r/>
            <w:r>
              <w:rPr>
                <w:rFonts w:ascii="Calibri" w:hAnsi="Calibri"/>
                <w:b w:val="0"/>
                <w:sz w:val="14"/>
              </w:rPr>
              <w:t>Yüksek LCOM değerine sahip sınıfları belirleyip Extract Class uygulamak</w:t>
            </w:r>
          </w:p>
        </w:tc>
        <w:tc>
          <w:tcPr>
            <w:tcW w:type="dxa" w:w="2556"/>
            <w:vAlign w:val="center"/>
          </w:tcPr>
          <w:p>
            <w:pPr>
              <w:jc w:val="center"/>
            </w:pPr>
            <w:r/>
            <w:r>
              <w:rPr>
                <w:rFonts w:ascii="Calibri" w:hAnsi="Calibri"/>
                <w:b w:val="0"/>
                <w:sz w:val="14"/>
              </w:rPr>
              <w:t>LCOM artışı: 157.7969 -&gt; 214.3470</w:t>
            </w:r>
          </w:p>
        </w:tc>
        <w:tc>
          <w:tcPr>
            <w:tcW w:type="dxa" w:w="2556"/>
            <w:vAlign w:val="center"/>
          </w:tcPr>
          <w:p>
            <w:pPr>
              <w:jc w:val="center"/>
            </w:pPr>
            <w:r/>
            <w:r>
              <w:rPr>
                <w:rFonts w:ascii="Calibri" w:hAnsi="Calibri"/>
                <w:b w:val="0"/>
                <w:sz w:val="14"/>
              </w:rPr>
              <w:t>Cohesion ve Understandability</w:t>
            </w:r>
          </w:p>
        </w:tc>
      </w:tr>
      <w:tr>
        <w:tc>
          <w:tcPr>
            <w:tcW w:type="dxa" w:w="2556"/>
            <w:vAlign w:val="center"/>
          </w:tcPr>
          <w:p>
            <w:pPr>
              <w:jc w:val="center"/>
            </w:pPr>
            <w:r/>
            <w:r>
              <w:rPr>
                <w:rFonts w:ascii="Calibri" w:hAnsi="Calibri"/>
                <w:b w:val="0"/>
                <w:sz w:val="14"/>
              </w:rPr>
              <w:t>2</w:t>
            </w:r>
          </w:p>
        </w:tc>
        <w:tc>
          <w:tcPr>
            <w:tcW w:type="dxa" w:w="2556"/>
            <w:vAlign w:val="center"/>
          </w:tcPr>
          <w:p>
            <w:pPr>
              <w:jc w:val="center"/>
            </w:pPr>
            <w:r/>
            <w:r>
              <w:rPr>
                <w:rFonts w:ascii="Calibri" w:hAnsi="Calibri"/>
                <w:b w:val="0"/>
                <w:sz w:val="14"/>
              </w:rPr>
              <w:t>Yüksek WMC/RFC değerlerine sahip sınıflarda Extract Method ve metot sadeleştirme yapmak</w:t>
            </w:r>
          </w:p>
        </w:tc>
        <w:tc>
          <w:tcPr>
            <w:tcW w:type="dxa" w:w="2556"/>
            <w:vAlign w:val="center"/>
          </w:tcPr>
          <w:p>
            <w:pPr>
              <w:jc w:val="center"/>
            </w:pPr>
            <w:r/>
            <w:r>
              <w:rPr>
                <w:rFonts w:ascii="Calibri" w:hAnsi="Calibri"/>
                <w:b w:val="0"/>
                <w:sz w:val="14"/>
              </w:rPr>
              <w:t>WMC: 17.4048 -&gt; 19.5616; RFC: 14.2969 -&gt; 15.7763</w:t>
            </w:r>
          </w:p>
        </w:tc>
        <w:tc>
          <w:tcPr>
            <w:tcW w:type="dxa" w:w="2556"/>
            <w:vAlign w:val="center"/>
          </w:tcPr>
          <w:p>
            <w:pPr>
              <w:jc w:val="center"/>
            </w:pPr>
            <w:r/>
            <w:r>
              <w:rPr>
                <w:rFonts w:ascii="Calibri" w:hAnsi="Calibri"/>
                <w:b w:val="0"/>
                <w:sz w:val="14"/>
              </w:rPr>
              <w:t>Understandability, test edilebilirlik</w:t>
            </w:r>
          </w:p>
        </w:tc>
      </w:tr>
      <w:tr>
        <w:tc>
          <w:tcPr>
            <w:tcW w:type="dxa" w:w="2556"/>
            <w:vAlign w:val="center"/>
          </w:tcPr>
          <w:p>
            <w:pPr>
              <w:jc w:val="center"/>
            </w:pPr>
            <w:r/>
            <w:r>
              <w:rPr>
                <w:rFonts w:ascii="Calibri" w:hAnsi="Calibri"/>
                <w:b w:val="0"/>
                <w:sz w:val="14"/>
              </w:rPr>
              <w:t>3</w:t>
            </w:r>
          </w:p>
        </w:tc>
        <w:tc>
          <w:tcPr>
            <w:tcW w:type="dxa" w:w="2556"/>
            <w:vAlign w:val="center"/>
          </w:tcPr>
          <w:p>
            <w:pPr>
              <w:jc w:val="center"/>
            </w:pPr>
            <w:r/>
            <w:r>
              <w:rPr>
                <w:rFonts w:ascii="Calibri" w:hAnsi="Calibri"/>
                <w:b w:val="0"/>
                <w:sz w:val="14"/>
              </w:rPr>
              <w:t>Gereksiz public metotları azaltmak ve sınıf arayüzlerini sadeleştirmek</w:t>
            </w:r>
          </w:p>
        </w:tc>
        <w:tc>
          <w:tcPr>
            <w:tcW w:type="dxa" w:w="2556"/>
            <w:vAlign w:val="center"/>
          </w:tcPr>
          <w:p>
            <w:pPr>
              <w:jc w:val="center"/>
            </w:pPr>
            <w:r/>
            <w:r>
              <w:rPr>
                <w:rFonts w:ascii="Calibri" w:hAnsi="Calibri"/>
                <w:b w:val="0"/>
                <w:sz w:val="14"/>
              </w:rPr>
              <w:t>RFC ve public arayüz büyümesi</w:t>
            </w:r>
          </w:p>
        </w:tc>
        <w:tc>
          <w:tcPr>
            <w:tcW w:type="dxa" w:w="2556"/>
            <w:vAlign w:val="center"/>
          </w:tcPr>
          <w:p>
            <w:pPr>
              <w:jc w:val="center"/>
            </w:pPr>
            <w:r/>
            <w:r>
              <w:rPr>
                <w:rFonts w:ascii="Calibri" w:hAnsi="Calibri"/>
                <w:b w:val="0"/>
                <w:sz w:val="14"/>
              </w:rPr>
              <w:t>Messaging kontrolü, bakım kolaylığı</w:t>
            </w:r>
          </w:p>
        </w:tc>
      </w:tr>
      <w:tr>
        <w:tc>
          <w:tcPr>
            <w:tcW w:type="dxa" w:w="2556"/>
            <w:vAlign w:val="center"/>
          </w:tcPr>
          <w:p>
            <w:pPr>
              <w:jc w:val="center"/>
            </w:pPr>
            <w:r/>
            <w:r>
              <w:rPr>
                <w:rFonts w:ascii="Calibri" w:hAnsi="Calibri"/>
                <w:b w:val="0"/>
                <w:sz w:val="14"/>
              </w:rPr>
              <w:t>4</w:t>
            </w:r>
          </w:p>
        </w:tc>
        <w:tc>
          <w:tcPr>
            <w:tcW w:type="dxa" w:w="2556"/>
            <w:vAlign w:val="center"/>
          </w:tcPr>
          <w:p>
            <w:pPr>
              <w:jc w:val="center"/>
            </w:pPr>
            <w:r/>
            <w:r>
              <w:rPr>
                <w:rFonts w:ascii="Calibri" w:hAnsi="Calibri"/>
                <w:b w:val="0"/>
                <w:sz w:val="14"/>
              </w:rPr>
              <w:t>Yüksek CBO değerine sahip sınıfları ayrıca incelemek</w:t>
            </w:r>
          </w:p>
        </w:tc>
        <w:tc>
          <w:tcPr>
            <w:tcW w:type="dxa" w:w="2556"/>
            <w:vAlign w:val="center"/>
          </w:tcPr>
          <w:p>
            <w:pPr>
              <w:jc w:val="center"/>
            </w:pPr>
            <w:r/>
            <w:r>
              <w:rPr>
                <w:rFonts w:ascii="Calibri" w:hAnsi="Calibri"/>
                <w:b w:val="0"/>
                <w:sz w:val="14"/>
              </w:rPr>
              <w:t>CBO sınırlı artsa da son sürümde 5.0411</w:t>
            </w:r>
          </w:p>
        </w:tc>
        <w:tc>
          <w:tcPr>
            <w:tcW w:type="dxa" w:w="2556"/>
            <w:vAlign w:val="center"/>
          </w:tcPr>
          <w:p>
            <w:pPr>
              <w:jc w:val="center"/>
            </w:pPr>
            <w:r/>
            <w:r>
              <w:rPr>
                <w:rFonts w:ascii="Calibri" w:hAnsi="Calibri"/>
                <w:b w:val="0"/>
                <w:sz w:val="14"/>
              </w:rPr>
              <w:t>Coupling ve modülerlik</w:t>
            </w:r>
          </w:p>
        </w:tc>
      </w:tr>
      <w:tr>
        <w:tc>
          <w:tcPr>
            <w:tcW w:type="dxa" w:w="2556"/>
            <w:vAlign w:val="center"/>
          </w:tcPr>
          <w:p>
            <w:pPr>
              <w:jc w:val="center"/>
            </w:pPr>
            <w:r/>
            <w:r>
              <w:rPr>
                <w:rFonts w:ascii="Calibri" w:hAnsi="Calibri"/>
                <w:b w:val="0"/>
                <w:sz w:val="14"/>
              </w:rPr>
              <w:t>5</w:t>
            </w:r>
          </w:p>
        </w:tc>
        <w:tc>
          <w:tcPr>
            <w:tcW w:type="dxa" w:w="2556"/>
            <w:vAlign w:val="center"/>
          </w:tcPr>
          <w:p>
            <w:pPr>
              <w:jc w:val="center"/>
            </w:pPr>
            <w:r/>
            <w:r>
              <w:rPr>
                <w:rFonts w:ascii="Calibri" w:hAnsi="Calibri"/>
                <w:b w:val="0"/>
                <w:sz w:val="14"/>
              </w:rPr>
              <w:t>Yeni özellik ekleme öncesinde refactoring sprint’i planlamak</w:t>
            </w:r>
          </w:p>
        </w:tc>
        <w:tc>
          <w:tcPr>
            <w:tcW w:type="dxa" w:w="2556"/>
            <w:vAlign w:val="center"/>
          </w:tcPr>
          <w:p>
            <w:pPr>
              <w:jc w:val="center"/>
            </w:pPr>
            <w:r/>
            <w:r>
              <w:rPr>
                <w:rFonts w:ascii="Calibri" w:hAnsi="Calibri"/>
                <w:b w:val="0"/>
                <w:sz w:val="14"/>
              </w:rPr>
              <w:t>TQI artarken Understandability ve Extendibility düşüyor</w:t>
            </w:r>
          </w:p>
        </w:tc>
        <w:tc>
          <w:tcPr>
            <w:tcW w:type="dxa" w:w="2556"/>
            <w:vAlign w:val="center"/>
          </w:tcPr>
          <w:p>
            <w:pPr>
              <w:jc w:val="center"/>
            </w:pPr>
            <w:r/>
            <w:r>
              <w:rPr>
                <w:rFonts w:ascii="Calibri" w:hAnsi="Calibri"/>
                <w:b w:val="0"/>
                <w:sz w:val="14"/>
              </w:rPr>
              <w:t>Sürdürülebilir kalite evrimi</w:t>
            </w:r>
          </w:p>
        </w:tc>
      </w:tr>
    </w:tbl>
    <w:p>
      <w:pPr>
        <w:pStyle w:val="Caption"/>
        <w:jc w:val="center"/>
      </w:pPr>
      <w:r>
        <w:rPr>
          <w:rFonts w:ascii="Calibri" w:hAnsi="Calibri"/>
        </w:rPr>
        <w:t>Tablo 7. LLM çıktılarından türetilen ortak refactoring öncelikleri</w:t>
      </w:r>
    </w:p>
    <w:p>
      <w:pPr>
        <w:jc w:val="both"/>
      </w:pPr>
      <w:r>
        <w:t>Bu öneriler LLM çıktılarının ortaklaştığı noktalardan oluşturulmuştur. Bu aşamanın ardından yapılan v4.7.7 sınıf düzeyi risk analizi, önerilerin özellikle picocli.CommandLine, CommandSpec, Interpreter ve Help çevresinde somutlaştırılabileceğini göstermiştir. Böylece LLM tabanlı genel refactoring önerileri sınıf düzeyi metriklerle desteklenmiştir.</w:t>
      </w:r>
    </w:p>
    <w:p>
      <w:pPr>
        <w:pStyle w:val="Heading3"/>
      </w:pPr>
      <w:r>
        <w:rPr>
          <w:rFonts w:ascii="Calibri" w:hAnsi="Calibri"/>
        </w:rPr>
        <w:t>6.5.4. LLM Değerlendirmesinin Sonucu</w:t>
      </w:r>
    </w:p>
    <w:p>
      <w:pPr/>
      <w:r>
        <w:rPr>
          <w:rFonts w:ascii="Calibri" w:hAnsi="Calibri"/>
        </w:rPr>
        <w:t>LLM destekli değerlendirme, QMOOD sonuçlarının yorumlanmasında yararlı bir ikinci bakış sağlamıştır. Modeller, metrik trendlerini büyük ölçüde doğru okumuş ve teknik borç riskini özellikle cohesion ve karmaşıklık üzerinden açıklamıştır. Ancak bazı modellerin metriklerin ötesinde kesin mimari teşhisler üretme eğilimi, LLM çıktılarının eleştirel süzgeçten geçirilmesi gerektiğini göstermiştir. Bu nedenle çalışmada LLM sonuçları, ölçülmüş metriklerin yerine geçen bir kanıt olarak değil, metrik tabanlı bulguların yorumlanmasını destekleyen karşılaştırmalı nitel analiz çıktıları olarak kullanılmıştır.</w:t>
      </w:r>
    </w:p>
    <w:p>
      <w:pPr>
        <w:pStyle w:val="Heading2"/>
      </w:pPr>
      <w:r>
        <w:rPr>
          <w:rFonts w:ascii="Calibri" w:hAnsi="Calibri"/>
          <w:b w:val="0"/>
        </w:rPr>
        <w:t>6.6. Prompt 2 ile Yapılandırılmış LLM Değerlendirmesi</w:t>
      </w:r>
    </w:p>
    <w:p>
      <w:r>
        <w:rPr>
          <w:rFonts w:ascii="Calibri" w:hAnsi="Calibri"/>
          <w:b w:val="0"/>
          <w:sz w:val="20"/>
        </w:rPr>
        <w:t>Prompt 2, modellerin daha kısa ve aynı başlıklar altında karşılaştırılabilir cevaplar üretmesini sağlamak için kullanılmıştır. Bu promptta modellere yalnızca v4.0.4 ve v4.7.7 arasındaki özet metrik değişimleri verilmiş; genel kalite eğilimi, iyileşen/kötüleşen kalite nitelikleri, bakım yapılabilirlik riski, teknik borç göstergeleri, mimari bozulma işaretleri, refactoring önerileri ve modelin emin olmadığı noktaları aynı formatta açıklamaları istenmiştir.</w:t>
      </w:r>
    </w:p>
    <w:p>
      <w:pPr>
        <w:pStyle w:val="Caption"/>
      </w:pPr>
      <w:r>
        <w:rPr>
          <w:rFonts w:ascii="Calibri" w:hAnsi="Calibri"/>
        </w:rPr>
        <w:t>Tablo 8. Prompt 2 çıktılarının rubrik temelli karşılaştırması</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pPr>
              <w:jc w:val="center"/>
            </w:pPr>
            <w:r/>
            <w:r>
              <w:rPr>
                <w:b/>
                <w:sz w:val="14"/>
              </w:rPr>
              <w:t>Model / Prompt</w:t>
            </w:r>
          </w:p>
        </w:tc>
        <w:tc>
          <w:tcPr>
            <w:tcW w:type="dxa" w:w="1461"/>
            <w:vAlign w:val="center"/>
          </w:tcPr>
          <w:p>
            <w:pPr>
              <w:jc w:val="center"/>
            </w:pPr>
            <w:r/>
            <w:r>
              <w:rPr>
                <w:b/>
                <w:sz w:val="14"/>
              </w:rPr>
              <w:t>Metriklere bağlılık</w:t>
            </w:r>
          </w:p>
        </w:tc>
        <w:tc>
          <w:tcPr>
            <w:tcW w:type="dxa" w:w="1461"/>
            <w:vAlign w:val="center"/>
          </w:tcPr>
          <w:p>
            <w:pPr>
              <w:jc w:val="center"/>
            </w:pPr>
            <w:r/>
            <w:r>
              <w:rPr>
                <w:b/>
                <w:sz w:val="14"/>
              </w:rPr>
              <w:t>Teknik doğruluk</w:t>
            </w:r>
          </w:p>
        </w:tc>
        <w:tc>
          <w:tcPr>
            <w:tcW w:type="dxa" w:w="1461"/>
            <w:vAlign w:val="center"/>
          </w:tcPr>
          <w:p>
            <w:pPr>
              <w:jc w:val="center"/>
            </w:pPr>
            <w:r/>
            <w:r>
              <w:rPr>
                <w:b/>
                <w:sz w:val="14"/>
              </w:rPr>
              <w:t>Refactoring kalitesi</w:t>
            </w:r>
          </w:p>
        </w:tc>
        <w:tc>
          <w:tcPr>
            <w:tcW w:type="dxa" w:w="1461"/>
            <w:vAlign w:val="center"/>
          </w:tcPr>
          <w:p>
            <w:pPr>
              <w:jc w:val="center"/>
            </w:pPr>
            <w:r/>
            <w:r>
              <w:rPr>
                <w:b/>
                <w:sz w:val="14"/>
              </w:rPr>
              <w:t>Halüsinasyon riski</w:t>
            </w:r>
          </w:p>
        </w:tc>
        <w:tc>
          <w:tcPr>
            <w:tcW w:type="dxa" w:w="1461"/>
            <w:vAlign w:val="center"/>
          </w:tcPr>
          <w:p>
            <w:pPr>
              <w:jc w:val="center"/>
            </w:pPr>
            <w:r/>
            <w:r>
              <w:rPr>
                <w:b/>
                <w:sz w:val="14"/>
              </w:rPr>
              <w:t>Trend analizi</w:t>
            </w:r>
          </w:p>
        </w:tc>
        <w:tc>
          <w:tcPr>
            <w:tcW w:type="dxa" w:w="1461"/>
            <w:vAlign w:val="center"/>
          </w:tcPr>
          <w:p>
            <w:pPr>
              <w:jc w:val="center"/>
            </w:pPr>
            <w:r/>
            <w:r>
              <w:rPr>
                <w:b/>
                <w:sz w:val="14"/>
              </w:rPr>
              <w:t>Genel puan</w:t>
            </w:r>
          </w:p>
        </w:tc>
      </w:tr>
      <w:tr>
        <w:tc>
          <w:tcPr>
            <w:tcW w:type="dxa" w:w="1461"/>
            <w:vAlign w:val="center"/>
          </w:tcPr>
          <w:p>
            <w:pPr>
              <w:jc w:val="center"/>
            </w:pPr>
            <w:r/>
            <w:r>
              <w:rPr>
                <w:b w:val="0"/>
                <w:sz w:val="14"/>
              </w:rPr>
              <w:t>Gemini - Prompt 2</w:t>
            </w:r>
          </w:p>
        </w:tc>
        <w:tc>
          <w:tcPr>
            <w:tcW w:type="dxa" w:w="1461"/>
            <w:vAlign w:val="center"/>
          </w:tcPr>
          <w:p>
            <w:pPr>
              <w:jc w:val="center"/>
            </w:pPr>
            <w:r/>
            <w:r>
              <w:rPr>
                <w:b w:val="0"/>
                <w:sz w:val="14"/>
              </w:rPr>
              <w:t>5</w:t>
            </w:r>
          </w:p>
        </w:tc>
        <w:tc>
          <w:tcPr>
            <w:tcW w:type="dxa" w:w="1461"/>
            <w:vAlign w:val="center"/>
          </w:tcPr>
          <w:p>
            <w:pPr>
              <w:jc w:val="center"/>
            </w:pPr>
            <w:r/>
            <w:r>
              <w:rPr>
                <w:b w:val="0"/>
                <w:sz w:val="14"/>
              </w:rPr>
              <w:t>4</w:t>
            </w:r>
          </w:p>
        </w:tc>
        <w:tc>
          <w:tcPr>
            <w:tcW w:type="dxa" w:w="1461"/>
            <w:vAlign w:val="center"/>
          </w:tcPr>
          <w:p>
            <w:pPr>
              <w:jc w:val="center"/>
            </w:pPr>
            <w:r/>
            <w:r>
              <w:rPr>
                <w:b w:val="0"/>
                <w:sz w:val="14"/>
              </w:rPr>
              <w:t>4</w:t>
            </w:r>
          </w:p>
        </w:tc>
        <w:tc>
          <w:tcPr>
            <w:tcW w:type="dxa" w:w="1461"/>
            <w:vAlign w:val="center"/>
          </w:tcPr>
          <w:p>
            <w:pPr>
              <w:jc w:val="center"/>
            </w:pPr>
            <w:r/>
            <w:r>
              <w:rPr>
                <w:b w:val="0"/>
                <w:sz w:val="14"/>
              </w:rPr>
              <w:t>3</w:t>
            </w:r>
          </w:p>
        </w:tc>
        <w:tc>
          <w:tcPr>
            <w:tcW w:type="dxa" w:w="1461"/>
            <w:vAlign w:val="center"/>
          </w:tcPr>
          <w:p>
            <w:pPr>
              <w:jc w:val="center"/>
            </w:pPr>
            <w:r/>
            <w:r>
              <w:rPr>
                <w:b w:val="0"/>
                <w:sz w:val="14"/>
              </w:rPr>
              <w:t>5</w:t>
            </w:r>
          </w:p>
        </w:tc>
        <w:tc>
          <w:tcPr>
            <w:tcW w:type="dxa" w:w="1461"/>
            <w:vAlign w:val="center"/>
          </w:tcPr>
          <w:p>
            <w:pPr>
              <w:jc w:val="center"/>
            </w:pPr>
            <w:r/>
            <w:r>
              <w:rPr>
                <w:b w:val="0"/>
                <w:sz w:val="14"/>
              </w:rPr>
              <w:t>21/25</w:t>
            </w:r>
          </w:p>
        </w:tc>
      </w:tr>
      <w:tr>
        <w:tc>
          <w:tcPr>
            <w:tcW w:type="dxa" w:w="1461"/>
            <w:vAlign w:val="center"/>
          </w:tcPr>
          <w:p>
            <w:pPr>
              <w:jc w:val="center"/>
            </w:pPr>
            <w:r/>
            <w:r>
              <w:rPr>
                <w:b w:val="0"/>
                <w:sz w:val="14"/>
              </w:rPr>
              <w:t>DeepSeek - Prompt 2</w:t>
            </w:r>
          </w:p>
        </w:tc>
        <w:tc>
          <w:tcPr>
            <w:tcW w:type="dxa" w:w="1461"/>
            <w:vAlign w:val="center"/>
          </w:tcPr>
          <w:p>
            <w:pPr>
              <w:jc w:val="center"/>
            </w:pPr>
            <w:r/>
            <w:r>
              <w:rPr>
                <w:b w:val="0"/>
                <w:sz w:val="14"/>
              </w:rPr>
              <w:t>5</w:t>
            </w:r>
          </w:p>
        </w:tc>
        <w:tc>
          <w:tcPr>
            <w:tcW w:type="dxa" w:w="1461"/>
            <w:vAlign w:val="center"/>
          </w:tcPr>
          <w:p>
            <w:pPr>
              <w:jc w:val="center"/>
            </w:pPr>
            <w:r/>
            <w:r>
              <w:rPr>
                <w:b w:val="0"/>
                <w:sz w:val="14"/>
              </w:rPr>
              <w:t>3</w:t>
            </w:r>
          </w:p>
        </w:tc>
        <w:tc>
          <w:tcPr>
            <w:tcW w:type="dxa" w:w="1461"/>
            <w:vAlign w:val="center"/>
          </w:tcPr>
          <w:p>
            <w:pPr>
              <w:jc w:val="center"/>
            </w:pPr>
            <w:r/>
            <w:r>
              <w:rPr>
                <w:b w:val="0"/>
                <w:sz w:val="14"/>
              </w:rPr>
              <w:t>2</w:t>
            </w:r>
          </w:p>
        </w:tc>
        <w:tc>
          <w:tcPr>
            <w:tcW w:type="dxa" w:w="1461"/>
            <w:vAlign w:val="center"/>
          </w:tcPr>
          <w:p>
            <w:pPr>
              <w:jc w:val="center"/>
            </w:pPr>
            <w:r/>
            <w:r>
              <w:rPr>
                <w:b w:val="0"/>
                <w:sz w:val="14"/>
              </w:rPr>
              <w:t>2</w:t>
            </w:r>
          </w:p>
        </w:tc>
        <w:tc>
          <w:tcPr>
            <w:tcW w:type="dxa" w:w="1461"/>
            <w:vAlign w:val="center"/>
          </w:tcPr>
          <w:p>
            <w:pPr>
              <w:jc w:val="center"/>
            </w:pPr>
            <w:r/>
            <w:r>
              <w:rPr>
                <w:b w:val="0"/>
                <w:sz w:val="14"/>
              </w:rPr>
              <w:t>5</w:t>
            </w:r>
          </w:p>
        </w:tc>
        <w:tc>
          <w:tcPr>
            <w:tcW w:type="dxa" w:w="1461"/>
            <w:vAlign w:val="center"/>
          </w:tcPr>
          <w:p>
            <w:pPr>
              <w:jc w:val="center"/>
            </w:pPr>
            <w:r/>
            <w:r>
              <w:rPr>
                <w:b w:val="0"/>
                <w:sz w:val="14"/>
              </w:rPr>
              <w:t>17/25</w:t>
            </w:r>
          </w:p>
        </w:tc>
      </w:tr>
      <w:tr>
        <w:tc>
          <w:tcPr>
            <w:tcW w:type="dxa" w:w="1461"/>
            <w:vAlign w:val="center"/>
          </w:tcPr>
          <w:p>
            <w:pPr>
              <w:jc w:val="center"/>
            </w:pPr>
            <w:r/>
            <w:r>
              <w:rPr>
                <w:b w:val="0"/>
                <w:sz w:val="14"/>
              </w:rPr>
              <w:t>Claude - Prompt 2</w:t>
            </w:r>
          </w:p>
        </w:tc>
        <w:tc>
          <w:tcPr>
            <w:tcW w:type="dxa" w:w="1461"/>
            <w:vAlign w:val="center"/>
          </w:tcPr>
          <w:p>
            <w:pPr>
              <w:jc w:val="center"/>
            </w:pPr>
            <w:r/>
            <w:r>
              <w:rPr>
                <w:b w:val="0"/>
                <w:sz w:val="14"/>
              </w:rPr>
              <w:t>5</w:t>
            </w:r>
          </w:p>
        </w:tc>
        <w:tc>
          <w:tcPr>
            <w:tcW w:type="dxa" w:w="1461"/>
            <w:vAlign w:val="center"/>
          </w:tcPr>
          <w:p>
            <w:pPr>
              <w:jc w:val="center"/>
            </w:pPr>
            <w:r/>
            <w:r>
              <w:rPr>
                <w:b w:val="0"/>
                <w:sz w:val="14"/>
              </w:rPr>
              <w:t>4</w:t>
            </w:r>
          </w:p>
        </w:tc>
        <w:tc>
          <w:tcPr>
            <w:tcW w:type="dxa" w:w="1461"/>
            <w:vAlign w:val="center"/>
          </w:tcPr>
          <w:p>
            <w:pPr>
              <w:jc w:val="center"/>
            </w:pPr>
            <w:r/>
            <w:r>
              <w:rPr>
                <w:b w:val="0"/>
                <w:sz w:val="14"/>
              </w:rPr>
              <w:t>4</w:t>
            </w:r>
          </w:p>
        </w:tc>
        <w:tc>
          <w:tcPr>
            <w:tcW w:type="dxa" w:w="1461"/>
            <w:vAlign w:val="center"/>
          </w:tcPr>
          <w:p>
            <w:pPr>
              <w:jc w:val="center"/>
            </w:pPr>
            <w:r/>
            <w:r>
              <w:rPr>
                <w:b w:val="0"/>
                <w:sz w:val="14"/>
              </w:rPr>
              <w:t>3</w:t>
            </w:r>
          </w:p>
        </w:tc>
        <w:tc>
          <w:tcPr>
            <w:tcW w:type="dxa" w:w="1461"/>
            <w:vAlign w:val="center"/>
          </w:tcPr>
          <w:p>
            <w:pPr>
              <w:jc w:val="center"/>
            </w:pPr>
            <w:r/>
            <w:r>
              <w:rPr>
                <w:b w:val="0"/>
                <w:sz w:val="14"/>
              </w:rPr>
              <w:t>5</w:t>
            </w:r>
          </w:p>
        </w:tc>
        <w:tc>
          <w:tcPr>
            <w:tcW w:type="dxa" w:w="1461"/>
            <w:vAlign w:val="center"/>
          </w:tcPr>
          <w:p>
            <w:pPr>
              <w:jc w:val="center"/>
            </w:pPr>
            <w:r/>
            <w:r>
              <w:rPr>
                <w:b w:val="0"/>
                <w:sz w:val="14"/>
              </w:rPr>
              <w:t>22/25</w:t>
            </w:r>
          </w:p>
        </w:tc>
      </w:tr>
    </w:tbl>
    <w:p>
      <w:r>
        <w:rPr>
          <w:rFonts w:ascii="Calibri" w:hAnsi="Calibri"/>
          <w:b w:val="0"/>
          <w:sz w:val="20"/>
        </w:rPr>
        <w:t>Prompt 2 sonuçlarına göre Claude en dengeli yapılandırılmış cevabı üretmiştir. Claude, DAM metriğini doğru biçimde veri gizleme/encapsulation ile ilişkilendirmiş, QMOOD skorlarının referans sürüme göre normalize edildiğini belirtmiş ve sınıf düzeyi veri eksikliğini açıkça vurgulamıştır. Gemini de metriklere bağlı ve tutarlı bir analiz sunmuştur; ancak DIT düşüşünden polimorfizm azalması veya mevcut sınıflara kod yığılması gibi doğrudan kanıtlanamayan çıkarımlar yapmıştır. DeepSeek ise TQI, LCOM ve Understandability trendlerini doğru yakalamış olsa da DAM metriğini abstraction göstergesi olarak yorumladığı ve sınıf düzeyi veri olmadan Feature Envy gibi sonuçlara yöneldiği için teknik doğruluk açısından daha zayıf kalmıştır.</w:t>
      </w:r>
    </w:p>
    <w:p>
      <w:pPr>
        <w:pStyle w:val="Caption"/>
      </w:pPr>
      <w:r>
        <w:rPr>
          <w:rFonts w:ascii="Calibri" w:hAnsi="Calibri"/>
        </w:rPr>
        <w:t>Tablo 9. Prompt 2 cevaplarının nitel özeti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
              <w:rPr>
                <w:b/>
                <w:sz w:val="14"/>
              </w:rPr>
              <w:t>Model</w:t>
            </w:r>
          </w:p>
        </w:tc>
        <w:tc>
          <w:tcPr>
            <w:tcW w:type="dxa" w:w="3408"/>
            <w:vAlign w:val="center"/>
          </w:tcPr>
          <w:p>
            <w:pPr>
              <w:jc w:val="center"/>
            </w:pPr>
            <w:r/>
            <w:r>
              <w:rPr>
                <w:b/>
                <w:sz w:val="14"/>
              </w:rPr>
              <w:t>Güçlü yön</w:t>
            </w:r>
          </w:p>
        </w:tc>
        <w:tc>
          <w:tcPr>
            <w:tcW w:type="dxa" w:w="3408"/>
            <w:vAlign w:val="center"/>
          </w:tcPr>
          <w:p>
            <w:pPr>
              <w:jc w:val="center"/>
            </w:pPr>
            <w:r/>
            <w:r>
              <w:rPr>
                <w:b/>
                <w:sz w:val="14"/>
              </w:rPr>
              <w:t>Dikkat edilmesi gereken nokta</w:t>
            </w:r>
          </w:p>
        </w:tc>
      </w:tr>
      <w:tr>
        <w:tc>
          <w:tcPr>
            <w:tcW w:type="dxa" w:w="3408"/>
            <w:vAlign w:val="center"/>
          </w:tcPr>
          <w:p>
            <w:pPr>
              <w:jc w:val="center"/>
            </w:pPr>
            <w:r/>
            <w:r>
              <w:rPr>
                <w:b w:val="0"/>
                <w:sz w:val="14"/>
              </w:rPr>
              <w:t>Gemini</w:t>
            </w:r>
          </w:p>
        </w:tc>
        <w:tc>
          <w:tcPr>
            <w:tcW w:type="dxa" w:w="3408"/>
            <w:vAlign w:val="center"/>
          </w:tcPr>
          <w:p>
            <w:pPr>
              <w:jc w:val="center"/>
            </w:pPr>
            <w:r/>
            <w:r>
              <w:rPr>
                <w:b w:val="0"/>
                <w:sz w:val="14"/>
              </w:rPr>
              <w:t>TQI artışının dengesiz olduğunu, LCOM/WMC/RFC artışının bakım riskini yükselttiğini doğru yorumladı.</w:t>
            </w:r>
          </w:p>
        </w:tc>
        <w:tc>
          <w:tcPr>
            <w:tcW w:type="dxa" w:w="3408"/>
            <w:vAlign w:val="center"/>
          </w:tcPr>
          <w:p>
            <w:pPr>
              <w:jc w:val="center"/>
            </w:pPr>
            <w:r/>
            <w:r>
              <w:rPr>
                <w:b w:val="0"/>
                <w:sz w:val="14"/>
              </w:rPr>
              <w:t>DIT ve polimorfizm ilişkisi ile “sınıflara kod yığılması” yorumu doğrudan kanıtlanamaz.</w:t>
            </w:r>
          </w:p>
        </w:tc>
      </w:tr>
      <w:tr>
        <w:tc>
          <w:tcPr>
            <w:tcW w:type="dxa" w:w="3408"/>
            <w:vAlign w:val="center"/>
          </w:tcPr>
          <w:p>
            <w:pPr>
              <w:jc w:val="center"/>
            </w:pPr>
            <w:r/>
            <w:r>
              <w:rPr>
                <w:b w:val="0"/>
                <w:sz w:val="14"/>
              </w:rPr>
              <w:t>DeepSeek</w:t>
            </w:r>
          </w:p>
        </w:tc>
        <w:tc>
          <w:tcPr>
            <w:tcW w:type="dxa" w:w="3408"/>
            <w:vAlign w:val="center"/>
          </w:tcPr>
          <w:p>
            <w:pPr>
              <w:jc w:val="center"/>
            </w:pPr>
            <w:r/>
            <w:r>
              <w:rPr>
                <w:b w:val="0"/>
                <w:sz w:val="14"/>
              </w:rPr>
              <w:t>TQI artışının Understandability/Extendibility düşüşünü maskeleyebileceğini ve normalizasyon sınırlılığını iyi belirtti.</w:t>
            </w:r>
          </w:p>
        </w:tc>
        <w:tc>
          <w:tcPr>
            <w:tcW w:type="dxa" w:w="3408"/>
            <w:vAlign w:val="center"/>
          </w:tcPr>
          <w:p>
            <w:pPr>
              <w:jc w:val="center"/>
            </w:pPr>
            <w:r/>
            <w:r>
              <w:rPr>
                <w:b w:val="0"/>
                <w:sz w:val="14"/>
              </w:rPr>
              <w:t>DAM metriğini abstraction göstergesi gibi ele aldı; Extract Interface-DAM ilişkisi teknik olarak sorunlu.</w:t>
            </w:r>
          </w:p>
        </w:tc>
      </w:tr>
      <w:tr>
        <w:tc>
          <w:tcPr>
            <w:tcW w:type="dxa" w:w="3408"/>
            <w:vAlign w:val="center"/>
          </w:tcPr>
          <w:p>
            <w:pPr>
              <w:jc w:val="center"/>
            </w:pPr>
            <w:r/>
            <w:r>
              <w:rPr>
                <w:b w:val="0"/>
                <w:sz w:val="14"/>
              </w:rPr>
              <w:t>Claude</w:t>
            </w:r>
          </w:p>
        </w:tc>
        <w:tc>
          <w:tcPr>
            <w:tcW w:type="dxa" w:w="3408"/>
            <w:vAlign w:val="center"/>
          </w:tcPr>
          <w:p>
            <w:pPr>
              <w:jc w:val="center"/>
            </w:pPr>
            <w:r/>
            <w:r>
              <w:rPr>
                <w:b w:val="0"/>
                <w:sz w:val="14"/>
              </w:rPr>
              <w:t>En dengeli çıktı; DAM yorumu doğru, sınırlılıklar açık, refactoring önerileri uygulanabilir.</w:t>
            </w:r>
          </w:p>
        </w:tc>
        <w:tc>
          <w:tcPr>
            <w:tcW w:type="dxa" w:w="3408"/>
            <w:vAlign w:val="center"/>
          </w:tcPr>
          <w:p>
            <w:pPr>
              <w:jc w:val="center"/>
            </w:pPr>
            <w:r/>
            <w:r>
              <w:rPr>
                <w:b w:val="0"/>
                <w:sz w:val="14"/>
              </w:rPr>
              <w:t>SRP/composition çıkarımları sınıf düzeyi veri olmadan kesin kabul edilmemeli.</w:t>
            </w:r>
          </w:p>
        </w:tc>
      </w:tr>
    </w:tbl>
    <w:p>
      <w:r>
        <w:rPr>
          <w:rFonts w:ascii="Calibri" w:hAnsi="Calibri"/>
          <w:b w:val="0"/>
          <w:sz w:val="20"/>
        </w:rPr>
        <w:t>Prompt 2 ile alınan yapılandırılmış cevaplar, Prompt 1 sonuçlarını genel olarak desteklemiştir. Üç model de TQI artışını tek başına yeterli görmemiş; Reusability, Flexibility, Functionality ve Effectiveness artarken Understandability ve Extendibility değerlerinin gerilediğini vurgulamıştır. Ayrıca modellerin tamamı LCOM artışını temel teknik borç göstergesi olarak değerlendirmiştir. Buna karşılık, LLM çıktılarında bazı metriklerden doğrudan kanıtlanamayan çıkarımlar da görülmüştür. Bu nedenle LLM sonuçları QMOOD analizini yorumlamada yararlı bir destek olarak kullanılmış, ancak nihai kararlar metriklerin kendisi ve yöntemsel sınırlılıklar dikkate alınarak verilmiştir.</w:t>
      </w:r>
    </w:p>
    <w:p>
      <w:pPr>
        <w:pStyle w:val="Heading2"/>
      </w:pPr>
      <w:r>
        <w:t>6.7. v4.7.7 Sınıf Düzeyi Risk Analizi</w:t>
      </w:r>
    </w:p>
    <w:p>
      <w:pPr>
        <w:jc w:val="both"/>
      </w:pPr>
      <w:r>
        <w:t>Sürüm ortalamaları genel eğilimi göstermesine rağmen riskin hangi sınıflarda yoğunlaştığını ortaya koymaz. Bu nedenle v4.7.7 sürümü için CK Tool class.csv çıktısı sınıf düzeyinde incelenmiş ve normalize edilmiş birleşik risk skoru hesaplanmıştır. Risk skoru LCOM, WMC, RFC, CBO ve DIT metriklerinden türetilmiştir; ağırlıklar sırasıyla LCOM için 0.35, WMC için 0.25, RFC için 0.20, CBO için 0.15 ve DIT için 0.05 olarak belirlenmiştir. Bu ağırlıklandırmada cohesion kaybı ve sınıf içi karmaşıklık, bakım yapılabilirlik açısından daha yüksek öneme sahip kabul edilmiştir.</w:t>
      </w:r>
    </w:p>
    <w:p>
      <w:pPr>
        <w:pStyle w:val="Caption"/>
      </w:pPr>
      <w:r>
        <w:t>Tablo 10. v4.7.7 sürümü için risk skoru en yüksek ilk 10 sınıf</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503"/>
            <w:vAlign w:val="center"/>
            <w:shd w:fill="D9EAF7"/>
          </w:tcPr>
          <w:p>
            <w:pPr>
              <w:jc w:val="center"/>
            </w:pPr>
            <w:r>
              <w:rPr>
                <w:b/>
                <w:sz w:val="15"/>
              </w:rPr>
            </w:r>
            <w:r>
              <w:rPr>
                <w:b/>
                <w:sz w:val="15"/>
              </w:rPr>
              <w:t>Sıra</w:t>
            </w:r>
          </w:p>
        </w:tc>
        <w:tc>
          <w:tcPr>
            <w:tcW w:type="dxa" w:w="4104"/>
            <w:vAlign w:val="center"/>
            <w:shd w:fill="D9EAF7"/>
          </w:tcPr>
          <w:p>
            <w:pPr>
              <w:jc w:val="center"/>
            </w:pPr>
            <w:r>
              <w:rPr>
                <w:b/>
                <w:sz w:val="15"/>
              </w:rPr>
            </w:r>
            <w:r>
              <w:rPr>
                <w:b/>
                <w:sz w:val="15"/>
              </w:rPr>
              <w:t>Sınıf</w:t>
            </w:r>
          </w:p>
        </w:tc>
        <w:tc>
          <w:tcPr>
            <w:tcW w:type="dxa" w:w="604"/>
            <w:vAlign w:val="center"/>
            <w:shd w:fill="D9EAF7"/>
          </w:tcPr>
          <w:p>
            <w:pPr>
              <w:jc w:val="center"/>
            </w:pPr>
            <w:r>
              <w:rPr>
                <w:b/>
                <w:sz w:val="15"/>
              </w:rPr>
            </w:r>
            <w:r>
              <w:rPr>
                <w:b/>
                <w:sz w:val="15"/>
              </w:rPr>
              <w:t>WMC</w:t>
            </w:r>
          </w:p>
        </w:tc>
        <w:tc>
          <w:tcPr>
            <w:tcW w:type="dxa" w:w="604"/>
            <w:vAlign w:val="center"/>
            <w:shd w:fill="D9EAF7"/>
          </w:tcPr>
          <w:p>
            <w:pPr>
              <w:jc w:val="center"/>
            </w:pPr>
            <w:r>
              <w:rPr>
                <w:b/>
                <w:sz w:val="15"/>
              </w:rPr>
            </w:r>
            <w:r>
              <w:rPr>
                <w:b/>
                <w:sz w:val="15"/>
              </w:rPr>
              <w:t>RFC</w:t>
            </w:r>
          </w:p>
        </w:tc>
        <w:tc>
          <w:tcPr>
            <w:tcW w:type="dxa" w:w="792"/>
            <w:vAlign w:val="center"/>
            <w:shd w:fill="D9EAF7"/>
          </w:tcPr>
          <w:p>
            <w:pPr>
              <w:jc w:val="center"/>
            </w:pPr>
            <w:r>
              <w:rPr>
                <w:b/>
                <w:sz w:val="15"/>
              </w:rPr>
            </w:r>
            <w:r>
              <w:rPr>
                <w:b/>
                <w:sz w:val="15"/>
              </w:rPr>
              <w:t>LCOM</w:t>
            </w:r>
          </w:p>
        </w:tc>
        <w:tc>
          <w:tcPr>
            <w:tcW w:type="dxa" w:w="604"/>
            <w:vAlign w:val="center"/>
            <w:shd w:fill="D9EAF7"/>
          </w:tcPr>
          <w:p>
            <w:pPr>
              <w:jc w:val="center"/>
            </w:pPr>
            <w:r>
              <w:rPr>
                <w:b/>
                <w:sz w:val="15"/>
              </w:rPr>
            </w:r>
            <w:r>
              <w:rPr>
                <w:b/>
                <w:sz w:val="15"/>
              </w:rPr>
              <w:t>CBO</w:t>
            </w:r>
          </w:p>
        </w:tc>
        <w:tc>
          <w:tcPr>
            <w:tcW w:type="dxa" w:w="547"/>
            <w:vAlign w:val="center"/>
            <w:shd w:fill="D9EAF7"/>
          </w:tcPr>
          <w:p>
            <w:pPr>
              <w:jc w:val="center"/>
            </w:pPr>
            <w:r>
              <w:rPr>
                <w:b/>
                <w:sz w:val="15"/>
              </w:rPr>
            </w:r>
            <w:r>
              <w:rPr>
                <w:b/>
                <w:sz w:val="15"/>
              </w:rPr>
              <w:t>DIT</w:t>
            </w:r>
          </w:p>
        </w:tc>
        <w:tc>
          <w:tcPr>
            <w:tcW w:type="dxa" w:w="892"/>
            <w:vAlign w:val="center"/>
            <w:shd w:fill="D9EAF7"/>
          </w:tcPr>
          <w:p>
            <w:pPr>
              <w:jc w:val="center"/>
            </w:pPr>
            <w:r>
              <w:rPr>
                <w:b/>
                <w:sz w:val="15"/>
              </w:rPr>
            </w:r>
            <w:r>
              <w:rPr>
                <w:b/>
                <w:sz w:val="15"/>
              </w:rPr>
              <w:t>Risk Skoru</w:t>
            </w:r>
          </w:p>
        </w:tc>
      </w:tr>
      <w:tr>
        <w:tc>
          <w:tcPr>
            <w:tcW w:type="dxa" w:w="503"/>
            <w:vAlign w:val="center"/>
          </w:tcPr>
          <w:p>
            <w:pPr>
              <w:jc w:val="center"/>
            </w:pPr>
            <w:r>
              <w:rPr>
                <w:sz w:val="14"/>
              </w:rPr>
            </w:r>
            <w:r>
              <w:rPr>
                <w:b w:val="0"/>
                <w:sz w:val="14"/>
              </w:rPr>
              <w:t>1</w:t>
            </w:r>
          </w:p>
        </w:tc>
        <w:tc>
          <w:tcPr>
            <w:tcW w:type="dxa" w:w="4104"/>
            <w:vAlign w:val="center"/>
          </w:tcPr>
          <w:p>
            <w:pPr>
              <w:jc w:val="left"/>
            </w:pPr>
            <w:r>
              <w:rPr>
                <w:sz w:val="14"/>
              </w:rPr>
            </w:r>
            <w:r>
              <w:rPr>
                <w:b w:val="0"/>
                <w:sz w:val="14"/>
              </w:rPr>
              <w:t>picocli.CommandLine</w:t>
            </w:r>
          </w:p>
        </w:tc>
        <w:tc>
          <w:tcPr>
            <w:tcW w:type="dxa" w:w="604"/>
            <w:vAlign w:val="center"/>
          </w:tcPr>
          <w:p>
            <w:pPr>
              <w:jc w:val="center"/>
            </w:pPr>
            <w:r>
              <w:rPr>
                <w:sz w:val="14"/>
              </w:rPr>
            </w:r>
            <w:r>
              <w:rPr>
                <w:b w:val="0"/>
                <w:sz w:val="14"/>
              </w:rPr>
              <w:t>362</w:t>
            </w:r>
          </w:p>
        </w:tc>
        <w:tc>
          <w:tcPr>
            <w:tcW w:type="dxa" w:w="604"/>
            <w:vAlign w:val="center"/>
          </w:tcPr>
          <w:p>
            <w:pPr>
              <w:jc w:val="center"/>
            </w:pPr>
            <w:r>
              <w:rPr>
                <w:sz w:val="14"/>
              </w:rPr>
            </w:r>
            <w:r>
              <w:rPr>
                <w:b w:val="0"/>
                <w:sz w:val="14"/>
              </w:rPr>
              <w:t>338</w:t>
            </w:r>
          </w:p>
        </w:tc>
        <w:tc>
          <w:tcPr>
            <w:tcW w:type="dxa" w:w="792"/>
            <w:vAlign w:val="center"/>
          </w:tcPr>
          <w:p>
            <w:pPr>
              <w:jc w:val="center"/>
            </w:pPr>
            <w:r>
              <w:rPr>
                <w:sz w:val="14"/>
              </w:rPr>
            </w:r>
            <w:r>
              <w:rPr>
                <w:b w:val="0"/>
                <w:sz w:val="14"/>
              </w:rPr>
              <w:t>17878</w:t>
            </w:r>
          </w:p>
        </w:tc>
        <w:tc>
          <w:tcPr>
            <w:tcW w:type="dxa" w:w="604"/>
            <w:vAlign w:val="center"/>
          </w:tcPr>
          <w:p>
            <w:pPr>
              <w:jc w:val="center"/>
            </w:pPr>
            <w:r>
              <w:rPr>
                <w:sz w:val="14"/>
              </w:rPr>
            </w:r>
            <w:r>
              <w:rPr>
                <w:b w:val="0"/>
                <w:sz w:val="14"/>
              </w:rPr>
              <w:t>66</w:t>
            </w:r>
          </w:p>
        </w:tc>
        <w:tc>
          <w:tcPr>
            <w:tcW w:type="dxa" w:w="547"/>
            <w:vAlign w:val="center"/>
          </w:tcPr>
          <w:p>
            <w:pPr>
              <w:jc w:val="center"/>
            </w:pPr>
            <w:r>
              <w:rPr>
                <w:sz w:val="14"/>
              </w:rPr>
            </w:r>
            <w:r>
              <w:rPr>
                <w:b w:val="0"/>
                <w:sz w:val="14"/>
              </w:rPr>
              <w:t>76</w:t>
            </w:r>
          </w:p>
        </w:tc>
        <w:tc>
          <w:tcPr>
            <w:tcW w:type="dxa" w:w="892"/>
            <w:vAlign w:val="center"/>
          </w:tcPr>
          <w:p>
            <w:pPr>
              <w:jc w:val="left"/>
            </w:pPr>
            <w:r>
              <w:rPr>
                <w:sz w:val="14"/>
              </w:rPr>
            </w:r>
            <w:r>
              <w:rPr>
                <w:b w:val="0"/>
                <w:sz w:val="14"/>
              </w:rPr>
              <w:t>0.893</w:t>
            </w:r>
          </w:p>
        </w:tc>
      </w:tr>
      <w:tr>
        <w:tc>
          <w:tcPr>
            <w:tcW w:type="dxa" w:w="503"/>
            <w:vAlign w:val="center"/>
          </w:tcPr>
          <w:p>
            <w:pPr>
              <w:jc w:val="center"/>
            </w:pPr>
            <w:r>
              <w:rPr>
                <w:sz w:val="14"/>
              </w:rPr>
            </w:r>
            <w:r>
              <w:rPr>
                <w:b w:val="0"/>
                <w:sz w:val="14"/>
              </w:rPr>
              <w:t>2</w:t>
            </w:r>
          </w:p>
        </w:tc>
        <w:tc>
          <w:tcPr>
            <w:tcW w:type="dxa" w:w="4104"/>
            <w:vAlign w:val="center"/>
          </w:tcPr>
          <w:p>
            <w:pPr>
              <w:jc w:val="left"/>
            </w:pPr>
            <w:r>
              <w:rPr>
                <w:sz w:val="14"/>
              </w:rPr>
            </w:r>
            <w:r>
              <w:rPr>
                <w:b w:val="0"/>
                <w:sz w:val="14"/>
              </w:rPr>
              <w:t>picocli.CommandLine$Model$CommandSpec</w:t>
            </w:r>
          </w:p>
        </w:tc>
        <w:tc>
          <w:tcPr>
            <w:tcW w:type="dxa" w:w="604"/>
            <w:vAlign w:val="center"/>
          </w:tcPr>
          <w:p>
            <w:pPr>
              <w:jc w:val="center"/>
            </w:pPr>
            <w:r>
              <w:rPr>
                <w:sz w:val="14"/>
              </w:rPr>
            </w:r>
            <w:r>
              <w:rPr>
                <w:b w:val="0"/>
                <w:sz w:val="14"/>
              </w:rPr>
              <w:t>388</w:t>
            </w:r>
          </w:p>
        </w:tc>
        <w:tc>
          <w:tcPr>
            <w:tcW w:type="dxa" w:w="604"/>
            <w:vAlign w:val="center"/>
          </w:tcPr>
          <w:p>
            <w:pPr>
              <w:jc w:val="center"/>
            </w:pPr>
            <w:r>
              <w:rPr>
                <w:sz w:val="14"/>
              </w:rPr>
            </w:r>
            <w:r>
              <w:rPr>
                <w:b w:val="0"/>
                <w:sz w:val="14"/>
              </w:rPr>
              <w:t>324</w:t>
            </w:r>
          </w:p>
        </w:tc>
        <w:tc>
          <w:tcPr>
            <w:tcW w:type="dxa" w:w="792"/>
            <w:vAlign w:val="center"/>
          </w:tcPr>
          <w:p>
            <w:pPr>
              <w:jc w:val="center"/>
            </w:pPr>
            <w:r>
              <w:rPr>
                <w:sz w:val="14"/>
              </w:rPr>
            </w:r>
            <w:r>
              <w:rPr>
                <w:b w:val="0"/>
                <w:sz w:val="14"/>
              </w:rPr>
              <w:t>10708</w:t>
            </w:r>
          </w:p>
        </w:tc>
        <w:tc>
          <w:tcPr>
            <w:tcW w:type="dxa" w:w="604"/>
            <w:vAlign w:val="center"/>
          </w:tcPr>
          <w:p>
            <w:pPr>
              <w:jc w:val="center"/>
            </w:pPr>
            <w:r>
              <w:rPr>
                <w:sz w:val="14"/>
              </w:rPr>
            </w:r>
            <w:r>
              <w:rPr>
                <w:b w:val="0"/>
                <w:sz w:val="14"/>
              </w:rPr>
              <w:t>50</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0.674</w:t>
            </w:r>
          </w:p>
        </w:tc>
      </w:tr>
      <w:tr>
        <w:tc>
          <w:tcPr>
            <w:tcW w:type="dxa" w:w="503"/>
            <w:vAlign w:val="center"/>
          </w:tcPr>
          <w:p>
            <w:pPr>
              <w:jc w:val="center"/>
            </w:pPr>
            <w:r>
              <w:rPr>
                <w:sz w:val="14"/>
              </w:rPr>
            </w:r>
            <w:r>
              <w:rPr>
                <w:b w:val="0"/>
                <w:sz w:val="14"/>
              </w:rPr>
              <w:t>3</w:t>
            </w:r>
          </w:p>
        </w:tc>
        <w:tc>
          <w:tcPr>
            <w:tcW w:type="dxa" w:w="4104"/>
            <w:vAlign w:val="center"/>
          </w:tcPr>
          <w:p>
            <w:pPr>
              <w:jc w:val="left"/>
            </w:pPr>
            <w:r>
              <w:rPr>
                <w:sz w:val="14"/>
              </w:rPr>
            </w:r>
            <w:r>
              <w:rPr>
                <w:b w:val="0"/>
                <w:sz w:val="14"/>
              </w:rPr>
              <w:t>picocli.CommandLine$Interpreter</w:t>
            </w:r>
          </w:p>
        </w:tc>
        <w:tc>
          <w:tcPr>
            <w:tcW w:type="dxa" w:w="604"/>
            <w:vAlign w:val="center"/>
          </w:tcPr>
          <w:p>
            <w:pPr>
              <w:jc w:val="center"/>
            </w:pPr>
            <w:r>
              <w:rPr>
                <w:sz w:val="14"/>
              </w:rPr>
            </w:r>
            <w:r>
              <w:rPr>
                <w:b w:val="0"/>
                <w:sz w:val="14"/>
              </w:rPr>
              <w:t>527</w:t>
            </w:r>
          </w:p>
        </w:tc>
        <w:tc>
          <w:tcPr>
            <w:tcW w:type="dxa" w:w="604"/>
            <w:vAlign w:val="center"/>
          </w:tcPr>
          <w:p>
            <w:pPr>
              <w:jc w:val="center"/>
            </w:pPr>
            <w:r>
              <w:rPr>
                <w:sz w:val="14"/>
              </w:rPr>
            </w:r>
            <w:r>
              <w:rPr>
                <w:b w:val="0"/>
                <w:sz w:val="14"/>
              </w:rPr>
              <w:t>375</w:t>
            </w:r>
          </w:p>
        </w:tc>
        <w:tc>
          <w:tcPr>
            <w:tcW w:type="dxa" w:w="792"/>
            <w:vAlign w:val="center"/>
          </w:tcPr>
          <w:p>
            <w:pPr>
              <w:jc w:val="center"/>
            </w:pPr>
            <w:r>
              <w:rPr>
                <w:sz w:val="14"/>
              </w:rPr>
            </w:r>
            <w:r>
              <w:rPr>
                <w:b w:val="0"/>
                <w:sz w:val="14"/>
              </w:rPr>
              <w:t>2032</w:t>
            </w:r>
          </w:p>
        </w:tc>
        <w:tc>
          <w:tcPr>
            <w:tcW w:type="dxa" w:w="604"/>
            <w:vAlign w:val="center"/>
          </w:tcPr>
          <w:p>
            <w:pPr>
              <w:jc w:val="center"/>
            </w:pPr>
            <w:r>
              <w:rPr>
                <w:sz w:val="14"/>
              </w:rPr>
            </w:r>
            <w:r>
              <w:rPr>
                <w:b w:val="0"/>
                <w:sz w:val="14"/>
              </w:rPr>
              <w:t>70</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0.640</w:t>
            </w:r>
          </w:p>
        </w:tc>
      </w:tr>
      <w:tr>
        <w:tc>
          <w:tcPr>
            <w:tcW w:type="dxa" w:w="503"/>
            <w:vAlign w:val="center"/>
          </w:tcPr>
          <w:p>
            <w:pPr>
              <w:jc w:val="center"/>
            </w:pPr>
            <w:r>
              <w:rPr>
                <w:sz w:val="14"/>
              </w:rPr>
            </w:r>
            <w:r>
              <w:rPr>
                <w:b w:val="0"/>
                <w:sz w:val="14"/>
              </w:rPr>
              <w:t>4</w:t>
            </w:r>
          </w:p>
        </w:tc>
        <w:tc>
          <w:tcPr>
            <w:tcW w:type="dxa" w:w="4104"/>
            <w:vAlign w:val="center"/>
          </w:tcPr>
          <w:p>
            <w:pPr>
              <w:jc w:val="left"/>
            </w:pPr>
            <w:r>
              <w:rPr>
                <w:sz w:val="14"/>
              </w:rPr>
            </w:r>
            <w:r>
              <w:rPr>
                <w:b w:val="0"/>
                <w:sz w:val="14"/>
              </w:rPr>
              <w:t>picocli.CommandLine$Help</w:t>
            </w:r>
          </w:p>
        </w:tc>
        <w:tc>
          <w:tcPr>
            <w:tcW w:type="dxa" w:w="604"/>
            <w:vAlign w:val="center"/>
          </w:tcPr>
          <w:p>
            <w:pPr>
              <w:jc w:val="center"/>
            </w:pPr>
            <w:r>
              <w:rPr>
                <w:sz w:val="14"/>
              </w:rPr>
            </w:r>
            <w:r>
              <w:rPr>
                <w:b w:val="0"/>
                <w:sz w:val="14"/>
              </w:rPr>
              <w:t>207</w:t>
            </w:r>
          </w:p>
        </w:tc>
        <w:tc>
          <w:tcPr>
            <w:tcW w:type="dxa" w:w="604"/>
            <w:vAlign w:val="center"/>
          </w:tcPr>
          <w:p>
            <w:pPr>
              <w:jc w:val="center"/>
            </w:pPr>
            <w:r>
              <w:rPr>
                <w:sz w:val="14"/>
              </w:rPr>
            </w:r>
            <w:r>
              <w:rPr>
                <w:b w:val="0"/>
                <w:sz w:val="14"/>
              </w:rPr>
              <w:t>245</w:t>
            </w:r>
          </w:p>
        </w:tc>
        <w:tc>
          <w:tcPr>
            <w:tcW w:type="dxa" w:w="792"/>
            <w:vAlign w:val="center"/>
          </w:tcPr>
          <w:p>
            <w:pPr>
              <w:jc w:val="center"/>
            </w:pPr>
            <w:r>
              <w:rPr>
                <w:sz w:val="14"/>
              </w:rPr>
            </w:r>
            <w:r>
              <w:rPr>
                <w:b w:val="0"/>
                <w:sz w:val="14"/>
              </w:rPr>
              <w:t>2635</w:t>
            </w:r>
          </w:p>
        </w:tc>
        <w:tc>
          <w:tcPr>
            <w:tcW w:type="dxa" w:w="604"/>
            <w:vAlign w:val="center"/>
          </w:tcPr>
          <w:p>
            <w:pPr>
              <w:jc w:val="center"/>
            </w:pPr>
            <w:r>
              <w:rPr>
                <w:sz w:val="14"/>
              </w:rPr>
            </w:r>
            <w:r>
              <w:rPr>
                <w:b w:val="0"/>
                <w:sz w:val="14"/>
              </w:rPr>
              <w:t>40</w:t>
            </w:r>
          </w:p>
        </w:tc>
        <w:tc>
          <w:tcPr>
            <w:tcW w:type="dxa" w:w="547"/>
            <w:vAlign w:val="center"/>
          </w:tcPr>
          <w:p>
            <w:pPr>
              <w:jc w:val="center"/>
            </w:pPr>
            <w:r>
              <w:rPr>
                <w:sz w:val="14"/>
              </w:rPr>
            </w:r>
            <w:r>
              <w:rPr>
                <w:b w:val="0"/>
                <w:sz w:val="14"/>
              </w:rPr>
              <w:t>2</w:t>
            </w:r>
          </w:p>
        </w:tc>
        <w:tc>
          <w:tcPr>
            <w:tcW w:type="dxa" w:w="892"/>
            <w:vAlign w:val="center"/>
          </w:tcPr>
          <w:p>
            <w:pPr>
              <w:jc w:val="left"/>
            </w:pPr>
            <w:r>
              <w:rPr>
                <w:sz w:val="14"/>
              </w:rPr>
            </w:r>
            <w:r>
              <w:rPr>
                <w:b w:val="0"/>
                <w:sz w:val="14"/>
              </w:rPr>
              <w:t>0.367</w:t>
            </w:r>
          </w:p>
        </w:tc>
      </w:tr>
      <w:tr>
        <w:tc>
          <w:tcPr>
            <w:tcW w:type="dxa" w:w="503"/>
            <w:vAlign w:val="center"/>
          </w:tcPr>
          <w:p>
            <w:pPr>
              <w:jc w:val="center"/>
            </w:pPr>
            <w:r>
              <w:rPr>
                <w:sz w:val="14"/>
              </w:rPr>
            </w:r>
            <w:r>
              <w:rPr>
                <w:b w:val="0"/>
                <w:sz w:val="14"/>
              </w:rPr>
              <w:t>5</w:t>
            </w:r>
          </w:p>
        </w:tc>
        <w:tc>
          <w:tcPr>
            <w:tcW w:type="dxa" w:w="4104"/>
            <w:vAlign w:val="center"/>
          </w:tcPr>
          <w:p>
            <w:pPr>
              <w:jc w:val="left"/>
            </w:pPr>
            <w:r>
              <w:rPr>
                <w:sz w:val="14"/>
              </w:rPr>
            </w:r>
            <w:r>
              <w:rPr>
                <w:b w:val="0"/>
                <w:sz w:val="14"/>
              </w:rPr>
              <w:t>picocli.CommandLine$Model$ArgSpec</w:t>
            </w:r>
          </w:p>
        </w:tc>
        <w:tc>
          <w:tcPr>
            <w:tcW w:type="dxa" w:w="604"/>
            <w:vAlign w:val="center"/>
          </w:tcPr>
          <w:p>
            <w:pPr>
              <w:jc w:val="center"/>
            </w:pPr>
            <w:r>
              <w:rPr>
                <w:sz w:val="14"/>
              </w:rPr>
            </w:r>
            <w:r>
              <w:rPr>
                <w:b w:val="0"/>
                <w:sz w:val="14"/>
              </w:rPr>
              <w:t>184</w:t>
            </w:r>
          </w:p>
        </w:tc>
        <w:tc>
          <w:tcPr>
            <w:tcW w:type="dxa" w:w="604"/>
            <w:vAlign w:val="center"/>
          </w:tcPr>
          <w:p>
            <w:pPr>
              <w:jc w:val="center"/>
            </w:pPr>
            <w:r>
              <w:rPr>
                <w:sz w:val="14"/>
              </w:rPr>
            </w:r>
            <w:r>
              <w:rPr>
                <w:b w:val="0"/>
                <w:sz w:val="14"/>
              </w:rPr>
              <w:t>109</w:t>
            </w:r>
          </w:p>
        </w:tc>
        <w:tc>
          <w:tcPr>
            <w:tcW w:type="dxa" w:w="792"/>
            <w:vAlign w:val="center"/>
          </w:tcPr>
          <w:p>
            <w:pPr>
              <w:jc w:val="center"/>
            </w:pPr>
            <w:r>
              <w:rPr>
                <w:sz w:val="14"/>
              </w:rPr>
            </w:r>
            <w:r>
              <w:rPr>
                <w:b w:val="0"/>
                <w:sz w:val="14"/>
              </w:rPr>
              <w:t>2090</w:t>
            </w:r>
          </w:p>
        </w:tc>
        <w:tc>
          <w:tcPr>
            <w:tcW w:type="dxa" w:w="604"/>
            <w:vAlign w:val="center"/>
          </w:tcPr>
          <w:p>
            <w:pPr>
              <w:jc w:val="center"/>
            </w:pPr>
            <w:r>
              <w:rPr>
                <w:sz w:val="14"/>
              </w:rPr>
            </w:r>
            <w:r>
              <w:rPr>
                <w:b w:val="0"/>
                <w:sz w:val="14"/>
              </w:rPr>
              <w:t>31</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0.253</w:t>
            </w:r>
          </w:p>
        </w:tc>
      </w:tr>
      <w:tr>
        <w:tc>
          <w:tcPr>
            <w:tcW w:type="dxa" w:w="503"/>
            <w:vAlign w:val="center"/>
          </w:tcPr>
          <w:p>
            <w:pPr>
              <w:jc w:val="center"/>
            </w:pPr>
            <w:r>
              <w:rPr>
                <w:sz w:val="14"/>
              </w:rPr>
            </w:r>
            <w:r>
              <w:rPr>
                <w:b w:val="0"/>
                <w:sz w:val="14"/>
              </w:rPr>
              <w:t>6</w:t>
            </w:r>
          </w:p>
        </w:tc>
        <w:tc>
          <w:tcPr>
            <w:tcW w:type="dxa" w:w="4104"/>
            <w:vAlign w:val="center"/>
          </w:tcPr>
          <w:p>
            <w:pPr>
              <w:jc w:val="left"/>
            </w:pPr>
            <w:r>
              <w:rPr>
                <w:sz w:val="14"/>
              </w:rPr>
            </w:r>
            <w:r>
              <w:rPr>
                <w:b w:val="0"/>
                <w:sz w:val="14"/>
              </w:rPr>
              <w:t>picocli.CommandLine$Model$UsageMessageSpec</w:t>
            </w:r>
          </w:p>
        </w:tc>
        <w:tc>
          <w:tcPr>
            <w:tcW w:type="dxa" w:w="604"/>
            <w:vAlign w:val="center"/>
          </w:tcPr>
          <w:p>
            <w:pPr>
              <w:jc w:val="center"/>
            </w:pPr>
            <w:r>
              <w:rPr>
                <w:sz w:val="14"/>
              </w:rPr>
            </w:r>
            <w:r>
              <w:rPr>
                <w:b w:val="0"/>
                <w:sz w:val="14"/>
              </w:rPr>
              <w:t>206</w:t>
            </w:r>
          </w:p>
        </w:tc>
        <w:tc>
          <w:tcPr>
            <w:tcW w:type="dxa" w:w="604"/>
            <w:vAlign w:val="center"/>
          </w:tcPr>
          <w:p>
            <w:pPr>
              <w:jc w:val="center"/>
            </w:pPr>
            <w:r>
              <w:rPr>
                <w:sz w:val="14"/>
              </w:rPr>
            </w:r>
            <w:r>
              <w:rPr>
                <w:b w:val="0"/>
                <w:sz w:val="14"/>
              </w:rPr>
              <w:t>111</w:t>
            </w:r>
          </w:p>
        </w:tc>
        <w:tc>
          <w:tcPr>
            <w:tcW w:type="dxa" w:w="792"/>
            <w:vAlign w:val="center"/>
          </w:tcPr>
          <w:p>
            <w:pPr>
              <w:jc w:val="center"/>
            </w:pPr>
            <w:r>
              <w:rPr>
                <w:sz w:val="14"/>
              </w:rPr>
            </w:r>
            <w:r>
              <w:rPr>
                <w:b w:val="0"/>
                <w:sz w:val="14"/>
              </w:rPr>
              <w:t>2809</w:t>
            </w:r>
          </w:p>
        </w:tc>
        <w:tc>
          <w:tcPr>
            <w:tcW w:type="dxa" w:w="604"/>
            <w:vAlign w:val="center"/>
          </w:tcPr>
          <w:p>
            <w:pPr>
              <w:jc w:val="center"/>
            </w:pPr>
            <w:r>
              <w:rPr>
                <w:sz w:val="14"/>
              </w:rPr>
            </w:r>
            <w:r>
              <w:rPr>
                <w:b w:val="0"/>
                <w:sz w:val="14"/>
              </w:rPr>
              <w:t>14</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0.242</w:t>
            </w:r>
          </w:p>
        </w:tc>
      </w:tr>
      <w:tr>
        <w:tc>
          <w:tcPr>
            <w:tcW w:type="dxa" w:w="503"/>
            <w:vAlign w:val="center"/>
          </w:tcPr>
          <w:p>
            <w:pPr>
              <w:jc w:val="center"/>
            </w:pPr>
            <w:r>
              <w:rPr>
                <w:sz w:val="14"/>
              </w:rPr>
            </w:r>
            <w:r>
              <w:rPr>
                <w:b w:val="0"/>
                <w:sz w:val="14"/>
              </w:rPr>
              <w:t>7</w:t>
            </w:r>
          </w:p>
        </w:tc>
        <w:tc>
          <w:tcPr>
            <w:tcW w:type="dxa" w:w="4104"/>
            <w:vAlign w:val="center"/>
          </w:tcPr>
          <w:p>
            <w:pPr>
              <w:jc w:val="left"/>
            </w:pPr>
            <w:r>
              <w:rPr>
                <w:sz w:val="14"/>
              </w:rPr>
            </w:r>
            <w:r>
              <w:rPr>
                <w:b w:val="0"/>
                <w:sz w:val="14"/>
              </w:rPr>
              <w:t>picocli.CommandLine$Model$ArgGroupSpec</w:t>
            </w:r>
          </w:p>
        </w:tc>
        <w:tc>
          <w:tcPr>
            <w:tcW w:type="dxa" w:w="604"/>
            <w:vAlign w:val="center"/>
          </w:tcPr>
          <w:p>
            <w:pPr>
              <w:jc w:val="center"/>
            </w:pPr>
            <w:r>
              <w:rPr>
                <w:sz w:val="14"/>
              </w:rPr>
            </w:r>
            <w:r>
              <w:rPr>
                <w:b w:val="0"/>
                <w:sz w:val="14"/>
              </w:rPr>
              <w:t>137</w:t>
            </w:r>
          </w:p>
        </w:tc>
        <w:tc>
          <w:tcPr>
            <w:tcW w:type="dxa" w:w="604"/>
            <w:vAlign w:val="center"/>
          </w:tcPr>
          <w:p>
            <w:pPr>
              <w:jc w:val="center"/>
            </w:pPr>
            <w:r>
              <w:rPr>
                <w:sz w:val="14"/>
              </w:rPr>
            </w:r>
            <w:r>
              <w:rPr>
                <w:b w:val="0"/>
                <w:sz w:val="14"/>
              </w:rPr>
              <w:t>114</w:t>
            </w:r>
          </w:p>
        </w:tc>
        <w:tc>
          <w:tcPr>
            <w:tcW w:type="dxa" w:w="792"/>
            <w:vAlign w:val="center"/>
          </w:tcPr>
          <w:p>
            <w:pPr>
              <w:jc w:val="center"/>
            </w:pPr>
            <w:r>
              <w:rPr>
                <w:sz w:val="14"/>
              </w:rPr>
            </w:r>
            <w:r>
              <w:rPr>
                <w:b w:val="0"/>
                <w:sz w:val="14"/>
              </w:rPr>
              <w:t>741</w:t>
            </w:r>
          </w:p>
        </w:tc>
        <w:tc>
          <w:tcPr>
            <w:tcW w:type="dxa" w:w="604"/>
            <w:vAlign w:val="center"/>
          </w:tcPr>
          <w:p>
            <w:pPr>
              <w:jc w:val="center"/>
            </w:pPr>
            <w:r>
              <w:rPr>
                <w:sz w:val="14"/>
              </w:rPr>
            </w:r>
            <w:r>
              <w:rPr>
                <w:b w:val="0"/>
                <w:sz w:val="14"/>
              </w:rPr>
              <w:t>34</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0.213</w:t>
            </w:r>
          </w:p>
        </w:tc>
      </w:tr>
      <w:tr>
        <w:tc>
          <w:tcPr>
            <w:tcW w:type="dxa" w:w="503"/>
            <w:vAlign w:val="center"/>
          </w:tcPr>
          <w:p>
            <w:pPr>
              <w:jc w:val="center"/>
            </w:pPr>
            <w:r>
              <w:rPr>
                <w:sz w:val="14"/>
              </w:rPr>
            </w:r>
            <w:r>
              <w:rPr>
                <w:b w:val="0"/>
                <w:sz w:val="14"/>
              </w:rPr>
              <w:t>8</w:t>
            </w:r>
          </w:p>
        </w:tc>
        <w:tc>
          <w:tcPr>
            <w:tcW w:type="dxa" w:w="4104"/>
            <w:vAlign w:val="center"/>
          </w:tcPr>
          <w:p>
            <w:pPr>
              <w:jc w:val="left"/>
            </w:pPr>
            <w:r>
              <w:rPr>
                <w:sz w:val="14"/>
              </w:rPr>
            </w:r>
            <w:r>
              <w:rPr>
                <w:b w:val="0"/>
                <w:sz w:val="14"/>
              </w:rPr>
              <w:t>picocli.AutoComplete</w:t>
            </w:r>
          </w:p>
        </w:tc>
        <w:tc>
          <w:tcPr>
            <w:tcW w:type="dxa" w:w="604"/>
            <w:vAlign w:val="center"/>
          </w:tcPr>
          <w:p>
            <w:pPr>
              <w:jc w:val="center"/>
            </w:pPr>
            <w:r>
              <w:rPr>
                <w:sz w:val="14"/>
              </w:rPr>
            </w:r>
            <w:r>
              <w:rPr>
                <w:b w:val="0"/>
                <w:sz w:val="14"/>
              </w:rPr>
              <w:t>156</w:t>
            </w:r>
          </w:p>
        </w:tc>
        <w:tc>
          <w:tcPr>
            <w:tcW w:type="dxa" w:w="604"/>
            <w:vAlign w:val="center"/>
          </w:tcPr>
          <w:p>
            <w:pPr>
              <w:jc w:val="center"/>
            </w:pPr>
            <w:r>
              <w:rPr>
                <w:sz w:val="14"/>
              </w:rPr>
            </w:r>
            <w:r>
              <w:rPr>
                <w:b w:val="0"/>
                <w:sz w:val="14"/>
              </w:rPr>
              <w:t>132</w:t>
            </w:r>
          </w:p>
        </w:tc>
        <w:tc>
          <w:tcPr>
            <w:tcW w:type="dxa" w:w="792"/>
            <w:vAlign w:val="center"/>
          </w:tcPr>
          <w:p>
            <w:pPr>
              <w:jc w:val="center"/>
            </w:pPr>
            <w:r>
              <w:rPr>
                <w:sz w:val="14"/>
              </w:rPr>
            </w:r>
            <w:r>
              <w:rPr>
                <w:b w:val="0"/>
                <w:sz w:val="14"/>
              </w:rPr>
              <w:t>778</w:t>
            </w:r>
          </w:p>
        </w:tc>
        <w:tc>
          <w:tcPr>
            <w:tcW w:type="dxa" w:w="604"/>
            <w:vAlign w:val="center"/>
          </w:tcPr>
          <w:p>
            <w:pPr>
              <w:jc w:val="center"/>
            </w:pPr>
            <w:r>
              <w:rPr>
                <w:sz w:val="14"/>
              </w:rPr>
            </w:r>
            <w:r>
              <w:rPr>
                <w:b w:val="0"/>
                <w:sz w:val="14"/>
              </w:rPr>
              <w:t>24</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0.211</w:t>
            </w:r>
          </w:p>
        </w:tc>
      </w:tr>
      <w:tr>
        <w:tc>
          <w:tcPr>
            <w:tcW w:type="dxa" w:w="503"/>
            <w:vAlign w:val="center"/>
          </w:tcPr>
          <w:p>
            <w:pPr>
              <w:jc w:val="center"/>
            </w:pPr>
            <w:r>
              <w:rPr>
                <w:sz w:val="14"/>
              </w:rPr>
            </w:r>
            <w:r>
              <w:rPr>
                <w:b w:val="0"/>
                <w:sz w:val="14"/>
              </w:rPr>
              <w:t>9</w:t>
            </w:r>
          </w:p>
        </w:tc>
        <w:tc>
          <w:tcPr>
            <w:tcW w:type="dxa" w:w="4104"/>
            <w:vAlign w:val="center"/>
          </w:tcPr>
          <w:p>
            <w:pPr>
              <w:jc w:val="left"/>
            </w:pPr>
            <w:r>
              <w:rPr>
                <w:sz w:val="14"/>
              </w:rPr>
            </w:r>
            <w:r>
              <w:rPr>
                <w:b w:val="0"/>
                <w:sz w:val="14"/>
              </w:rPr>
              <w:t>picocli.CommandLine$Model$CommandReflection</w:t>
            </w:r>
          </w:p>
        </w:tc>
        <w:tc>
          <w:tcPr>
            <w:tcW w:type="dxa" w:w="604"/>
            <w:vAlign w:val="center"/>
          </w:tcPr>
          <w:p>
            <w:pPr>
              <w:jc w:val="center"/>
            </w:pPr>
            <w:r>
              <w:rPr>
                <w:sz w:val="14"/>
              </w:rPr>
            </w:r>
            <w:r>
              <w:rPr>
                <w:b w:val="0"/>
                <w:sz w:val="14"/>
              </w:rPr>
              <w:t>101</w:t>
            </w:r>
          </w:p>
        </w:tc>
        <w:tc>
          <w:tcPr>
            <w:tcW w:type="dxa" w:w="604"/>
            <w:vAlign w:val="center"/>
          </w:tcPr>
          <w:p>
            <w:pPr>
              <w:jc w:val="center"/>
            </w:pPr>
            <w:r>
              <w:rPr>
                <w:sz w:val="14"/>
              </w:rPr>
            </w:r>
            <w:r>
              <w:rPr>
                <w:b w:val="0"/>
                <w:sz w:val="14"/>
              </w:rPr>
              <w:t>135</w:t>
            </w:r>
          </w:p>
        </w:tc>
        <w:tc>
          <w:tcPr>
            <w:tcW w:type="dxa" w:w="792"/>
            <w:vAlign w:val="center"/>
          </w:tcPr>
          <w:p>
            <w:pPr>
              <w:jc w:val="center"/>
            </w:pPr>
            <w:r>
              <w:rPr>
                <w:sz w:val="14"/>
              </w:rPr>
            </w:r>
            <w:r>
              <w:rPr>
                <w:b w:val="0"/>
                <w:sz w:val="14"/>
              </w:rPr>
              <w:t>153</w:t>
            </w:r>
          </w:p>
        </w:tc>
        <w:tc>
          <w:tcPr>
            <w:tcW w:type="dxa" w:w="604"/>
            <w:vAlign w:val="center"/>
          </w:tcPr>
          <w:p>
            <w:pPr>
              <w:jc w:val="center"/>
            </w:pPr>
            <w:r>
              <w:rPr>
                <w:sz w:val="14"/>
              </w:rPr>
            </w:r>
            <w:r>
              <w:rPr>
                <w:b w:val="0"/>
                <w:sz w:val="14"/>
              </w:rPr>
              <w:t>35</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0.198</w:t>
            </w:r>
          </w:p>
        </w:tc>
      </w:tr>
      <w:tr>
        <w:tc>
          <w:tcPr>
            <w:tcW w:type="dxa" w:w="503"/>
            <w:vAlign w:val="center"/>
          </w:tcPr>
          <w:p>
            <w:pPr>
              <w:jc w:val="center"/>
            </w:pPr>
            <w:r>
              <w:rPr>
                <w:sz w:val="14"/>
              </w:rPr>
            </w:r>
            <w:r>
              <w:rPr>
                <w:b w:val="0"/>
                <w:sz w:val="14"/>
              </w:rPr>
              <w:t>10</w:t>
            </w:r>
          </w:p>
        </w:tc>
        <w:tc>
          <w:tcPr>
            <w:tcW w:type="dxa" w:w="4104"/>
            <w:vAlign w:val="center"/>
          </w:tcPr>
          <w:p>
            <w:pPr>
              <w:jc w:val="left"/>
            </w:pPr>
            <w:r>
              <w:rPr>
                <w:sz w:val="14"/>
              </w:rPr>
            </w:r>
            <w:r>
              <w:rPr>
                <w:b w:val="0"/>
                <w:sz w:val="14"/>
              </w:rPr>
              <w:t>picocli.CommandLine$Model$ArgSpec$Builder</w:t>
            </w:r>
          </w:p>
        </w:tc>
        <w:tc>
          <w:tcPr>
            <w:tcW w:type="dxa" w:w="604"/>
            <w:vAlign w:val="center"/>
          </w:tcPr>
          <w:p>
            <w:pPr>
              <w:jc w:val="center"/>
            </w:pPr>
            <w:r>
              <w:rPr>
                <w:sz w:val="14"/>
              </w:rPr>
            </w:r>
            <w:r>
              <w:rPr>
                <w:b w:val="0"/>
                <w:sz w:val="14"/>
              </w:rPr>
              <w:t>97</w:t>
            </w:r>
          </w:p>
        </w:tc>
        <w:tc>
          <w:tcPr>
            <w:tcW w:type="dxa" w:w="604"/>
            <w:vAlign w:val="center"/>
          </w:tcPr>
          <w:p>
            <w:pPr>
              <w:jc w:val="center"/>
            </w:pPr>
            <w:r>
              <w:rPr>
                <w:sz w:val="14"/>
              </w:rPr>
            </w:r>
            <w:r>
              <w:rPr>
                <w:b w:val="0"/>
                <w:sz w:val="14"/>
              </w:rPr>
              <w:t>81</w:t>
            </w:r>
          </w:p>
        </w:tc>
        <w:tc>
          <w:tcPr>
            <w:tcW w:type="dxa" w:w="792"/>
            <w:vAlign w:val="center"/>
          </w:tcPr>
          <w:p>
            <w:pPr>
              <w:jc w:val="center"/>
            </w:pPr>
            <w:r>
              <w:rPr>
                <w:sz w:val="14"/>
              </w:rPr>
            </w:r>
            <w:r>
              <w:rPr>
                <w:b w:val="0"/>
                <w:sz w:val="14"/>
              </w:rPr>
              <w:t>2215</w:t>
            </w:r>
          </w:p>
        </w:tc>
        <w:tc>
          <w:tcPr>
            <w:tcW w:type="dxa" w:w="604"/>
            <w:vAlign w:val="center"/>
          </w:tcPr>
          <w:p>
            <w:pPr>
              <w:jc w:val="center"/>
            </w:pPr>
            <w:r>
              <w:rPr>
                <w:sz w:val="14"/>
              </w:rPr>
            </w:r>
            <w:r>
              <w:rPr>
                <w:b w:val="0"/>
                <w:sz w:val="14"/>
              </w:rPr>
              <w:t>27</w:t>
            </w:r>
          </w:p>
        </w:tc>
        <w:tc>
          <w:tcPr>
            <w:tcW w:type="dxa" w:w="547"/>
            <w:vAlign w:val="center"/>
          </w:tcPr>
          <w:p>
            <w:pPr>
              <w:jc w:val="center"/>
            </w:pPr>
            <w:r>
              <w:rPr>
                <w:sz w:val="14"/>
              </w:rPr>
            </w:r>
            <w:r>
              <w:rPr>
                <w:b w:val="0"/>
                <w:sz w:val="14"/>
              </w:rPr>
              <w:t>1</w:t>
            </w:r>
          </w:p>
        </w:tc>
        <w:tc>
          <w:tcPr>
            <w:tcW w:type="dxa" w:w="892"/>
            <w:vAlign w:val="center"/>
          </w:tcPr>
          <w:p>
            <w:pPr>
              <w:jc w:val="left"/>
            </w:pPr>
            <w:r>
              <w:rPr>
                <w:sz w:val="14"/>
              </w:rPr>
            </w:r>
            <w:r>
              <w:rPr>
                <w:b w:val="0"/>
                <w:sz w:val="14"/>
              </w:rPr>
              <w:t>0.190</w:t>
            </w:r>
          </w:p>
        </w:tc>
      </w:tr>
    </w:tbl>
    <w:p>
      <w:pPr>
        <w:jc w:val="both"/>
      </w:pPr>
      <w:r>
        <w:t>Tablo 10 incelendiğinde riskin proje geneline eşit dağılmadığı, özellikle picocli.CommandLine ve onun iç sınıfları çevresinde yoğunlaştığı görülmektedir. En yüksek risk skoruna sahip sınıf picocli.CommandLine olmuştur. Bu sınıfın WMC, RFC, LCOM ve CBO değerlerinin oldukça yüksek olması, sınıfın hem karmaşıklık hem cohesion hem de coupling açısından kritik bir refactoring adayı olduğunu göstermektedir. CommandLine$Model$CommandSpec ve CommandLine$Interpreter sınıfları da yüksek WMC ve RFC değerleri nedeniyle bakım yapılabilirlik açısından öncelikli incelenmesi gereken sınıflar arasındadır. Bu bulgu, sürüm ortalamalarında görülen LCOM, WMC ve RFC artışlarının özellikle belirli merkezi sınıflarda yoğunlaşmış olabileceğini göstermektedir.</w:t>
      </w:r>
    </w:p>
    <w:p>
      <w:pPr>
        <w:jc w:val="both"/>
      </w:pPr>
      <w:r>
        <w:t>Refactoring açısından ilk öncelik, picocli.CommandLine sınıfının sorumluluklarının ayrıştırılmasıdır. Yüksek LCOM değerleri Extract Class, yüksek WMC ve RFC değerleri ise Extract Method, arayüz sadeleştirme ve ayrıştırılmış yardımcı bileşenler kullanma ihtiyacına işaret etmektedir. Bununla birlikte picocli.CommandLine için DIT değerinin 76 olarak görünmesi, CK Tool’un iç/nested class yapısını yorumlama biçiminden etkilenmiş olabilecek aykırı bir değer olarak ayrıca doğrulanmalıdır. Dolayısıyla bu değer tek başına kalıtım hiyerarşisinin gerçek derinliği olarak değil, sınıf düzeyi risk taramasında dikkat çekici bir sinyal olarak değerlendirilmiştir.</w:t>
      </w:r>
    </w:p>
    <w:sectPr w:rsidR="00FC693F" w:rsidRPr="0006063C" w:rsidSect="00034616">
      <w:footerReference w:type="default" r:id="rId19"/>
      <w:pgSz w:w="12240" w:h="15840"/>
      <w:pgMar w:top="1008" w:right="1008" w:bottom="1008" w:left="1008" w:header="720" w:footer="720" w:gutter="0"/>
      <w:cols w:space="720"/>
      <w:docGrid w:linePitch="360"/>
    </w:sectPr>
    <w:p>
      <w:pPr>
        <w:pStyle w:val="Heading1"/>
      </w:pPr>
      <w:r>
        <w:rPr>
          <w:rFonts w:ascii="Calibri" w:hAnsi="Calibri"/>
        </w:rPr>
        <w:t>7. Sonuç ve Gelecek Çalışmalar</w:t>
      </w:r>
    </w:p>
    <w:p>
      <w:r>
        <w:rPr>
          <w:rFonts w:ascii="Calibri" w:hAnsi="Calibri"/>
        </w:rPr>
        <w:t>Bu çalışmada picocli projesinin 10 sürümü üzerinde CK Tool ile metrik çıkarımı yapılmış, bu metrikler QMOOD kalite modeline göre değerlendirilmiş ve sonuçlar Gemini, DeepSeek ve Claude olmak üzere üç farklı LLM modeliyle karşılaştırmalı olarak yorumlanmıştır. Genel sonuç, yazılımın v4.0.4 ile v4.7.7 arasında büyürken TQI değerinde küçük fakat pozitif bir artış gösterdiğidir. Bu artış reusability, flexibility, functionality ve effectiveness niteliklerindeki iyileşmeyle ilişkilidir. LLM çıktıları da bu genel eğilimi doğrulamış, ancak TQI’nin tek başına kullanılmasının bazı kalite düşüşlerini perdeleyebileceğine dikkat çekmiştir.</w:t>
      </w:r>
    </w:p>
    <w:p>
      <w:r>
        <w:rPr>
          <w:rFonts w:ascii="Calibri" w:hAnsi="Calibri"/>
        </w:rPr>
        <w:t>Buna karşılık understandability ve extendibility değerlerindeki düşüş, yazılımın büyümesine bağlı olarak karmaşıklık ve cohesion risklerinin arttığını göstermektedir. Özellikle WMC, RFC ve LCOM metriklerinde yükseliş gözlenmiştir. LLM değerlendirmeleri de aynı riskleri öne çıkarmış; ancak God Class, SRP/OCP ihlali veya composition kullanımına ilişkin bazı çıkarımların sınıf düzeyi veri olmadan kesin kabul edilemeyeceği görülmüştür. Gelecek çalışmalarda yüksek riskli sınıfların sınıf bazında incelenmesi, refactoring etkilerinin yeni metrik ölçümleriyle doğrulanması ve LLM çıktılarının daha sıkı bir rubrikle tekrar değerlendirilmesi önerilmektedir.</w:t>
      </w:r>
    </w:p>
    <w:p>
      <w:pPr>
        <w:jc w:val="both"/>
      </w:pPr>
      <w:r>
        <w:t>v4.7.7 için yapılan sınıf düzeyi risk analizi, teknik borç göstergelerinin özellikle picocli.CommandLine ve onun iç sınıfları çevresinde yoğunlaştığını ortaya koymuştur. Bu nedenle gelecekteki iyileştirme çalışmalarında öncelik, CommandLine ana sınıfı ile Model, Interpreter, Help ve ParseResult alt yapılarındaki yüksek WMC, RFC ve LCOM değerlerinin düşürülmesine verilmelidir.</w:t>
      </w:r>
    </w:p>
    <w:p>
      <w:r>
        <w:rPr>
          <w:rFonts w:ascii="Calibri" w:hAnsi="Calibri"/>
          <w:b w:val="0"/>
          <w:sz w:val="20"/>
        </w:rPr>
        <w:t>Prompt 2 ile yapılan yapılandırılmış LLM değerlendirmesi sonucunda Claude en dengeli çıktı üretmiş, Gemini benzer şekilde güçlü bir analiz sunmuş, DeepSeek ise trendleri doğru yorumlamasına rağmen DAM metriğini hatalı ele aldığı için daha düşük değerlendirilmiştir. Bu sonuç, LLM çıktılarının mutlaka metrik bilgisi ve alan bilgisiyle eleştirel biçimde denetlenmesi gerektiğini göstermektedir.</w:t>
      </w:r>
    </w:p>
    <w:p>
      <w:pPr>
        <w:pStyle w:val="Heading1"/>
      </w:pPr>
      <w:r>
        <w:rPr>
          <w:rFonts w:ascii="Calibri" w:hAnsi="Calibri"/>
        </w:rPr>
        <w:t>Ek A. LLM Promptları ve Değerlendirme Rubriği</w:t>
      </w:r>
    </w:p>
    <w:p>
      <w:r>
        <w:rPr>
          <w:rFonts w:ascii="Calibri" w:hAnsi="Calibri"/>
        </w:rPr>
        <w:t>Aşağıdaki promptlar ChatGPT, Gemini, Claude veya DeepSeek gibi modellere aynı formatta verilerek modellerin karşılaştırılabilir çıktı üretmesi sağlanabilir.</w:t>
      </w:r>
    </w:p>
    <w:p>
      <w:pPr>
        <w:pStyle w:val="Heading2"/>
      </w:pPr>
      <w:r>
        <w:rPr>
          <w:rFonts w:ascii="Calibri" w:hAnsi="Calibri"/>
        </w:rPr>
        <w:t>A.1. Tek Sürüm Değerlendirme Promptu</w:t>
      </w:r>
    </w:p>
    <w:p>
      <w:r>
        <w:rPr>
          <w:rFonts w:ascii="Calibri" w:hAnsi="Calibri"/>
        </w:rPr>
        <w:t>Aşağıda picocli projesinin bir sürümüne ait CK metrikleri ve QMOOD skorları verilmiştir. Görevin: (1) genel tasarım kalitesini değerlendir, (2) bakım yapılabilirlik risklerini belirt, (3) coupling, cohesion, complexity ve inheritance açısından yorum yap, (4) teknik borç belirtilerini açıkla, (5) somut refactoring önerileri ver. Sadece verilen metriklere dayan; verilmeyen sınıf/kod ayrıntılarını uydurma.</w:t>
      </w:r>
    </w:p>
    <w:p>
      <w:pPr>
        <w:pStyle w:val="Heading2"/>
      </w:pPr>
      <w:r>
        <w:rPr>
          <w:rFonts w:ascii="Calibri" w:hAnsi="Calibri"/>
        </w:rPr>
        <w:t>A.2. Sürüm Karşılaştırma Promptu</w:t>
      </w:r>
    </w:p>
    <w:p>
      <w:r>
        <w:rPr>
          <w:rFonts w:ascii="Calibri" w:hAnsi="Calibri"/>
        </w:rPr>
        <w:t>Aşağıda picocli projesinin iki sürümüne ait metrikler verilmiştir. Görevin: kalite değişimini açıkla, iyileşen ve kötüleşen kalite niteliklerini belirt, mimari bozulma işaretlerini değerlendir, teknik borç artışı/azalışı hakkında yorum yap ve refactoring öncelikleri öner. Yorumlarını metrik değerlerine dayandır.</w:t>
      </w:r>
    </w:p>
    <w:p>
      <w:pPr>
        <w:pStyle w:val="Heading2"/>
      </w:pPr>
      <w:r>
        <w:rPr>
          <w:rFonts w:ascii="Calibri" w:hAnsi="Calibri"/>
        </w:rPr>
        <w:t>A.3. 10 Sürüm Trend Analizi Promptu</w:t>
      </w:r>
    </w:p>
    <w:p>
      <w:r>
        <w:rPr>
          <w:rFonts w:ascii="Calibri" w:hAnsi="Calibri"/>
        </w:rPr>
        <w:t>Aşağıda picocli projesinin 10 sürümlük QMOOD kalite skorları ve temel metrik trendleri verilmiştir. Görevin: yazılımın kalite evrimini dönemlere ayır, kritik kalite düşüşlerini belirle, TQI trendini yorumla, understandability, reusability, flexibility ve extendibility açısından genel eğilimi açıkla, teknik borç birikimi olup olmadığını değerlendir ve gelecek sürümler için mimari iyileştirme önerileri ver.</w:t>
      </w:r>
    </w:p>
    <w:p>
      <w:pPr>
        <w:pStyle w:val="Heading2"/>
      </w:pPr>
      <w:r>
        <w:rPr>
          <w:rFonts w:ascii="Calibri" w:hAnsi="Calibri"/>
        </w:rPr>
        <w:t>A.4. LLM Değerlendirme Rubriği</w:t>
      </w:r>
    </w:p>
    <w:p>
      <w:pPr>
        <w:pStyle w:val="Caption"/>
        <w:jc w:val="center"/>
      </w:pPr>
      <w:r>
        <w:t>Tablo 11. LLM değerlendirme rubriği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pPr>
              <w:jc w:val="center"/>
            </w:pPr>
            <w:r/>
            <w:r>
              <w:rPr>
                <w:b/>
                <w:sz w:val="16"/>
              </w:rPr>
              <w:t>Kriter</w:t>
            </w:r>
          </w:p>
        </w:tc>
        <w:tc>
          <w:tcPr>
            <w:tcW w:type="dxa" w:w="3408"/>
            <w:shd w:fill="D9EAF7"/>
            <w:vAlign w:val="center"/>
          </w:tcPr>
          <w:p>
            <w:pPr>
              <w:jc w:val="center"/>
            </w:pPr>
            <w:r/>
            <w:r>
              <w:rPr>
                <w:b/>
                <w:sz w:val="16"/>
              </w:rPr>
              <w:t>Açıklama</w:t>
            </w:r>
          </w:p>
        </w:tc>
        <w:tc>
          <w:tcPr>
            <w:tcW w:type="dxa" w:w="3408"/>
            <w:shd w:fill="D9EAF7"/>
            <w:vAlign w:val="center"/>
          </w:tcPr>
          <w:p>
            <w:pPr>
              <w:jc w:val="center"/>
            </w:pPr>
            <w:r/>
            <w:r>
              <w:rPr>
                <w:b/>
                <w:sz w:val="16"/>
              </w:rPr>
              <w:t>Puan</w:t>
            </w:r>
          </w:p>
        </w:tc>
      </w:tr>
      <w:tr>
        <w:tc>
          <w:tcPr>
            <w:tcW w:type="dxa" w:w="3408"/>
            <w:vAlign w:val="center"/>
          </w:tcPr>
          <w:p>
            <w:pPr>
              <w:jc w:val="center"/>
            </w:pPr>
            <w:r/>
            <w:r>
              <w:rPr>
                <w:b w:val="0"/>
                <w:sz w:val="16"/>
              </w:rPr>
              <w:t>Metriklere bağlılık</w:t>
            </w:r>
          </w:p>
        </w:tc>
        <w:tc>
          <w:tcPr>
            <w:tcW w:type="dxa" w:w="3408"/>
            <w:vAlign w:val="center"/>
          </w:tcPr>
          <w:p>
            <w:pPr>
              <w:jc w:val="center"/>
            </w:pPr>
            <w:r/>
            <w:r>
              <w:rPr>
                <w:b w:val="0"/>
                <w:sz w:val="16"/>
              </w:rPr>
              <w:t>Yanıt verilen sayısal verilere dayanıyor mu?</w:t>
            </w:r>
          </w:p>
        </w:tc>
        <w:tc>
          <w:tcPr>
            <w:tcW w:type="dxa" w:w="3408"/>
            <w:vAlign w:val="center"/>
          </w:tcPr>
          <w:p>
            <w:pPr>
              <w:jc w:val="center"/>
            </w:pPr>
            <w:r/>
            <w:r>
              <w:rPr>
                <w:b w:val="0"/>
                <w:sz w:val="16"/>
              </w:rPr>
              <w:t>1-5</w:t>
            </w:r>
          </w:p>
        </w:tc>
      </w:tr>
      <w:tr>
        <w:tc>
          <w:tcPr>
            <w:tcW w:type="dxa" w:w="3408"/>
            <w:vAlign w:val="center"/>
          </w:tcPr>
          <w:p>
            <w:pPr>
              <w:jc w:val="center"/>
            </w:pPr>
            <w:r/>
            <w:r>
              <w:rPr>
                <w:b w:val="0"/>
                <w:sz w:val="16"/>
              </w:rPr>
              <w:t>Tutarlılık</w:t>
            </w:r>
          </w:p>
        </w:tc>
        <w:tc>
          <w:tcPr>
            <w:tcW w:type="dxa" w:w="3408"/>
            <w:vAlign w:val="center"/>
          </w:tcPr>
          <w:p>
            <w:pPr>
              <w:jc w:val="center"/>
            </w:pPr>
            <w:r/>
            <w:r>
              <w:rPr>
                <w:b w:val="0"/>
                <w:sz w:val="16"/>
              </w:rPr>
              <w:t>Yanıt kendi içinde çelişiyor mu?</w:t>
            </w:r>
          </w:p>
        </w:tc>
        <w:tc>
          <w:tcPr>
            <w:tcW w:type="dxa" w:w="3408"/>
            <w:vAlign w:val="center"/>
          </w:tcPr>
          <w:p>
            <w:pPr>
              <w:jc w:val="center"/>
            </w:pPr>
            <w:r/>
            <w:r>
              <w:rPr>
                <w:b w:val="0"/>
                <w:sz w:val="16"/>
              </w:rPr>
              <w:t>1-5</w:t>
            </w:r>
          </w:p>
        </w:tc>
      </w:tr>
      <w:tr>
        <w:tc>
          <w:tcPr>
            <w:tcW w:type="dxa" w:w="3408"/>
            <w:vAlign w:val="center"/>
          </w:tcPr>
          <w:p>
            <w:pPr>
              <w:jc w:val="center"/>
            </w:pPr>
            <w:r/>
            <w:r>
              <w:rPr>
                <w:b w:val="0"/>
                <w:sz w:val="16"/>
              </w:rPr>
              <w:t>Teknik doğruluk</w:t>
            </w:r>
          </w:p>
        </w:tc>
        <w:tc>
          <w:tcPr>
            <w:tcW w:type="dxa" w:w="3408"/>
            <w:vAlign w:val="center"/>
          </w:tcPr>
          <w:p>
            <w:pPr>
              <w:jc w:val="center"/>
            </w:pPr>
            <w:r/>
            <w:r>
              <w:rPr>
                <w:b w:val="0"/>
                <w:sz w:val="16"/>
              </w:rPr>
              <w:t>OO/QMOOD kavramları doğru kullanılıyor mu?</w:t>
            </w:r>
          </w:p>
        </w:tc>
        <w:tc>
          <w:tcPr>
            <w:tcW w:type="dxa" w:w="3408"/>
            <w:vAlign w:val="center"/>
          </w:tcPr>
          <w:p>
            <w:pPr>
              <w:jc w:val="center"/>
            </w:pPr>
            <w:r/>
            <w:r>
              <w:rPr>
                <w:b w:val="0"/>
                <w:sz w:val="16"/>
              </w:rPr>
              <w:t>1-5</w:t>
            </w:r>
          </w:p>
        </w:tc>
      </w:tr>
      <w:tr>
        <w:tc>
          <w:tcPr>
            <w:tcW w:type="dxa" w:w="3408"/>
            <w:vAlign w:val="center"/>
          </w:tcPr>
          <w:p>
            <w:pPr>
              <w:jc w:val="center"/>
            </w:pPr>
            <w:r/>
            <w:r>
              <w:rPr>
                <w:b w:val="0"/>
                <w:sz w:val="16"/>
              </w:rPr>
              <w:t>Refactoring kalitesi</w:t>
            </w:r>
          </w:p>
        </w:tc>
        <w:tc>
          <w:tcPr>
            <w:tcW w:type="dxa" w:w="3408"/>
            <w:vAlign w:val="center"/>
          </w:tcPr>
          <w:p>
            <w:pPr>
              <w:jc w:val="center"/>
            </w:pPr>
            <w:r/>
            <w:r>
              <w:rPr>
                <w:b w:val="0"/>
                <w:sz w:val="16"/>
              </w:rPr>
              <w:t>Öneriler somut ve uygulanabilir mi?</w:t>
            </w:r>
          </w:p>
        </w:tc>
        <w:tc>
          <w:tcPr>
            <w:tcW w:type="dxa" w:w="3408"/>
            <w:vAlign w:val="center"/>
          </w:tcPr>
          <w:p>
            <w:pPr>
              <w:jc w:val="center"/>
            </w:pPr>
            <w:r/>
            <w:r>
              <w:rPr>
                <w:b w:val="0"/>
                <w:sz w:val="16"/>
              </w:rPr>
              <w:t>1-5</w:t>
            </w:r>
          </w:p>
        </w:tc>
      </w:tr>
      <w:tr>
        <w:tc>
          <w:tcPr>
            <w:tcW w:type="dxa" w:w="3408"/>
            <w:vAlign w:val="center"/>
          </w:tcPr>
          <w:p>
            <w:pPr>
              <w:jc w:val="center"/>
            </w:pPr>
            <w:r/>
            <w:r>
              <w:rPr>
                <w:b w:val="0"/>
                <w:sz w:val="16"/>
              </w:rPr>
              <w:t>Halüsinasyon riski</w:t>
            </w:r>
          </w:p>
        </w:tc>
        <w:tc>
          <w:tcPr>
            <w:tcW w:type="dxa" w:w="3408"/>
            <w:vAlign w:val="center"/>
          </w:tcPr>
          <w:p>
            <w:pPr>
              <w:jc w:val="center"/>
            </w:pPr>
            <w:r/>
            <w:r>
              <w:rPr>
                <w:b w:val="0"/>
                <w:sz w:val="16"/>
              </w:rPr>
              <w:t>Verilmeyen bilgi uyduruluyor mu?</w:t>
            </w:r>
          </w:p>
        </w:tc>
        <w:tc>
          <w:tcPr>
            <w:tcW w:type="dxa" w:w="3408"/>
            <w:vAlign w:val="center"/>
          </w:tcPr>
          <w:p>
            <w:pPr>
              <w:jc w:val="center"/>
            </w:pPr>
            <w:r/>
            <w:r>
              <w:rPr>
                <w:b w:val="0"/>
                <w:sz w:val="16"/>
              </w:rPr>
              <w:t>1-5</w:t>
            </w:r>
          </w:p>
        </w:tc>
      </w:tr>
      <w:tr>
        <w:tc>
          <w:tcPr>
            <w:tcW w:type="dxa" w:w="3408"/>
            <w:vAlign w:val="center"/>
          </w:tcPr>
          <w:p>
            <w:pPr>
              <w:jc w:val="center"/>
            </w:pPr>
            <w:r/>
            <w:r>
              <w:rPr>
                <w:b w:val="0"/>
                <w:sz w:val="16"/>
              </w:rPr>
              <w:t>Sürüm farkını anlama</w:t>
            </w:r>
          </w:p>
        </w:tc>
        <w:tc>
          <w:tcPr>
            <w:tcW w:type="dxa" w:w="3408"/>
            <w:vAlign w:val="center"/>
          </w:tcPr>
          <w:p>
            <w:pPr>
              <w:jc w:val="center"/>
            </w:pPr>
            <w:r/>
            <w:r>
              <w:rPr>
                <w:b w:val="0"/>
                <w:sz w:val="16"/>
              </w:rPr>
              <w:t>Trend ve sürüm farkları doğru yorumlanıyor mu?</w:t>
            </w:r>
          </w:p>
        </w:tc>
        <w:tc>
          <w:tcPr>
            <w:tcW w:type="dxa" w:w="3408"/>
            <w:vAlign w:val="center"/>
          </w:tcPr>
          <w:p>
            <w:pPr>
              <w:jc w:val="center"/>
            </w:pPr>
            <w:r/>
            <w:r>
              <w:rPr>
                <w:b w:val="0"/>
                <w:sz w:val="16"/>
              </w:rPr>
              <w:t>1-5</w:t>
            </w:r>
          </w:p>
        </w:tc>
      </w:tr>
    </w:tbl>
    <w:p/>
    <w:p>
      <w:pPr>
        <w:pStyle w:val="Heading1"/>
      </w:pPr>
      <w:r>
        <w:rPr>
          <w:rFonts w:ascii="Calibri" w:hAnsi="Calibri"/>
        </w:rPr>
        <w:t>Kaynakça</w:t>
      </w:r>
    </w:p>
    <w:p>
      <w:pPr>
        <w:pStyle w:val="ListBullet"/>
      </w:pPr>
      <w:r>
        <w:rPr>
          <w:rFonts w:ascii="Calibri" w:hAnsi="Calibri"/>
        </w:rPr>
        <w:t>Bansiya, J., &amp; Davis, C. G. (2002). A hierarchical model for object-oriented design quality assessment. IEEE Transactions on Software Engineering, 28(1), 4-17.</w:t>
      </w:r>
    </w:p>
    <w:p>
      <w:pPr>
        <w:pStyle w:val="ListBullet"/>
      </w:pPr>
      <w:r>
        <w:rPr>
          <w:rFonts w:ascii="Calibri" w:hAnsi="Calibri"/>
        </w:rPr>
        <w:t>Chidamber, S. R., &amp; Kemerer, C. F. (1994). A metrics suite for object oriented design. IEEE Transactions on Software Engineering, 20(6), 476-493.</w:t>
      </w:r>
    </w:p>
    <w:p>
      <w:pPr>
        <w:pStyle w:val="ListBullet"/>
      </w:pPr>
      <w:r>
        <w:rPr>
          <w:rFonts w:ascii="Calibri" w:hAnsi="Calibri"/>
        </w:rPr>
        <w:t>McCabe, T. J. (1976). A Complexity Measure. IEEE Transactions on Software Engineering, 2(4), 308-320.</w:t>
      </w:r>
    </w:p>
    <w:p>
      <w:pPr>
        <w:pStyle w:val="ListBullet"/>
      </w:pPr>
      <w:r>
        <w:rPr>
          <w:rFonts w:ascii="Calibri" w:hAnsi="Calibri"/>
        </w:rPr>
        <w:t>Buzluca, F. (2012-2025). Yazılım Tasarımı Kalitesi - Yazılım Metrikleri (ytk04_2.pdf). Ders notları.</w:t>
      </w:r>
    </w:p>
    <w:p>
      <w:pPr>
        <w:pStyle w:val="ListBullet"/>
      </w:pPr>
      <w:r>
        <w:rPr>
          <w:rFonts w:ascii="Calibri" w:hAnsi="Calibri"/>
        </w:rPr>
        <w:t>Buzluca, F. (2012-2025). Yazılım Tasarımı Kalitesi - QMOOD Kalite Modeli (ytk05_2.pdf). Ders notları.</w:t>
      </w:r>
    </w:p>
    <w:p>
      <w:pPr>
        <w:pStyle w:val="ListBullet"/>
      </w:pPr>
      <w:r>
        <w:rPr>
          <w:rFonts w:ascii="Calibri" w:hAnsi="Calibri"/>
        </w:rPr>
        <w:t>Yazılım Mimarileri ve Tasarım Yöntemleri Dersi. QMOOD Tabanlı Yazılım Kalitesi Analizi ve LLM Destekli Değerlendirme Proje Yönergesi.</w:t>
      </w:r>
    </w:p>
    <w:p>
      <w:pPr>
        <w:pStyle w:val="ListBullet"/>
      </w:pPr>
      <w:r>
        <w:rPr>
          <w:rFonts w:ascii="Calibri" w:hAnsi="Calibri"/>
        </w:rPr>
        <w:t>CK Tool. https://github.com/mauricioaniche/ck</w:t>
      </w:r>
    </w:p>
    <w:p>
      <w:pPr>
        <w:pStyle w:val="ListBullet"/>
      </w:pPr>
      <w:r>
        <w:rPr>
          <w:rFonts w:ascii="Calibri" w:hAnsi="Calibri"/>
        </w:rPr>
        <w:t>picocli. https://github.com/remkop/picocli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QMOOD Tabanlı picocli Kalite Analizi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