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D07645">
      <w:pPr>
        <w:spacing w:before="680"/>
      </w:pPr>
      <w:r>
        <w:rPr>
          <w:b/>
          <w:color w:val="167D9A"/>
          <w:sz w:val="26"/>
        </w:rPr>
        <w:t>TERRITORY WORKS</w:t>
      </w:r>
    </w:p>
    <w:p w14:paraId="5231A489">
      <w:pPr>
        <w:pStyle w:val="36"/>
      </w:pPr>
      <w:r>
        <w:t>Executive Insights</w:t>
      </w:r>
      <w:r>
        <w:br w:type="textWrapping"/>
      </w:r>
      <w:r>
        <w:t>&amp; Recommendations</w:t>
      </w:r>
    </w:p>
    <w:p w14:paraId="3244D584">
      <w:r>
        <w:rPr>
          <w:color w:val="5A6673"/>
          <w:sz w:val="26"/>
        </w:rPr>
        <w:t>Sales, product, customer and returns performance</w:t>
      </w:r>
    </w:p>
    <w:p w14:paraId="79D28E70">
      <w:pPr>
        <w:pBdr>
          <w:bottom w:val="single" w:color="167D9A" w:sz="18" w:space="1"/>
        </w:pBdr>
        <w:spacing w:after="300"/>
      </w:pPr>
    </w:p>
    <w:p w14:paraId="7B942AC6">
      <w:pPr>
        <w:pStyle w:val="2"/>
      </w:pPr>
      <w:r>
        <w:t>Executive Summary</w:t>
      </w:r>
      <w:bookmarkStart w:id="0" w:name="_GoBack"/>
      <w:bookmarkEnd w:id="0"/>
    </w:p>
    <w:p w14:paraId="0E226B87">
      <w:r>
        <w:t>Territory Works reports $24.8 million in revenue, $10.3 million in profit, approximately 25,200 orders, and a 2.2% returns rate across the reporting period. Recent monthly performance is mixed: revenue rose 3.48% to $1.82 million, while orders declined 0.88% to 2,146. Revenue growth is therefore not being driven by a higher order count alone; average order value, product mix, pricing and large transactions are important areas to evaluate.</w:t>
      </w:r>
    </w:p>
    <w:p w14:paraId="5DBEBFBE">
      <w:r>
        <w:t>The clearest commercial priorities are to reduce avoidable returns, protect demand in high-activity product categories, and improve the consistency of performance reporting. Shorts is identified as the most returned product type, while Sport-100 Helmet variants have elevated displayed return rates. Tires and Tubes is the most ordered product type and represents an opportunity to protect availability and consider relevant cross-sells.</w:t>
      </w:r>
    </w:p>
    <w:p w14:paraId="79C67E81">
      <w:r>
        <w:t>These findings support targeted operational reviews rather than broad changes across the business. Decisions on promotions, product assortment and territory investment should consider return reasons, contribution margin, and comparable time-period measures—not revenue or order volume in isolation.</w:t>
      </w:r>
    </w:p>
    <w:p w14:paraId="327135DB">
      <w:pPr>
        <w:pStyle w:val="2"/>
      </w:pPr>
      <w:r>
        <w:t>1. Business Performance</w:t>
      </w:r>
    </w:p>
    <w:p w14:paraId="3289A502">
      <w:pPr>
        <w:pStyle w:val="3"/>
      </w:pPr>
      <w:r>
        <w:t>Revenue and profitability</w:t>
      </w:r>
    </w:p>
    <w:p w14:paraId="7121DC6D">
      <w:r>
        <w:t>Headline performance is $24.8M in revenue and $10.3M in profit. These figures indicate a substantial sales base and positive reported profit. Management should assess both measures together over time and by product and territory, since revenue growth alone does not establish whether the business is improving its profitability.</w:t>
      </w:r>
    </w:p>
    <w:p w14:paraId="6B630456">
      <w:r>
        <w:t>The headline figures imply a profit-to-revenue ratio of approximately 41.5% ($10.3M divided by $24.8M). This ratio should be interpreted alongside the business’s formal profit definition and matching reporting filters.</w:t>
      </w:r>
    </w:p>
    <w:p w14:paraId="3A0AD85C">
      <w:pPr>
        <w:pStyle w:val="3"/>
      </w:pPr>
      <w:r>
        <w:t>Monthly movement</w:t>
      </w:r>
    </w:p>
    <w:p w14:paraId="6CBE4754">
      <w:r>
        <w:t>Monthly revenue increased from $1.76M to $1.82M (+3.48%), while monthly orders moved from 2,165 to 2,146 (-0.88%). Revenue strengthened despite a small decline in order volume. A higher average basket, a shift toward higher-value products, pricing changes or a small number of large transactions could contribute to this pattern; the available figures do not establish which factor was responsible.</w:t>
      </w:r>
    </w:p>
    <w:p w14:paraId="0CE197A0">
      <w:r>
        <w:t>Management implication: review average order value, units per order and product mix alongside the revenue trend. This will help distinguish broad-based improvement from growth concentrated in particular products or transactions.</w:t>
      </w:r>
    </w:p>
    <w:p w14:paraId="7B5BFBEE">
      <w:pPr>
        <w:pStyle w:val="2"/>
      </w:pPr>
      <w:r>
        <w:t>2. Product and Category Performance</w:t>
      </w:r>
    </w:p>
    <w:p w14:paraId="1D8138DC">
      <w:r>
        <w:t>Tires and Tubes is the most ordered product type, making availability, replenishment and customer experience in this category commercially important. Products such as Water Bottle - 30 oz. also show strong order activity. These patterns support protecting core availability and evaluating complementary product offers, provided the offers maintain acceptable margin and do not increase returns.</w:t>
      </w:r>
    </w:p>
    <w:p w14:paraId="66F53D26">
      <w:r>
        <w:t>Order frequency and revenue contribution are not interchangeable. Fender Set - Mountain records $86,272 in revenue among the displayed leading products, while Water Bottle - 30 oz. leads that group by order count with 3,983 orders. Assortment and promotional decisions should therefore consider revenue, units, margin and returns together.</w:t>
      </w:r>
    </w:p>
    <w:p w14:paraId="6A14DE8D">
      <w:r>
        <w:t>Within the subcategory view, most displayed categories show positive month-over-month movement. Touring Bikes has the largest displayed percentage increase (+14%) among the listed subcategories, while Road Bikes shows +7%. Bike Stands is a notable exception in the year comparison shown, with 2022 at 116 versus 129 in 2021 (-10%). Month-over-month and year-over-year changes should be evaluated separately.</w:t>
      </w:r>
    </w:p>
    <w:p w14:paraId="3DEEBF50">
      <w:pPr>
        <w:pStyle w:val="2"/>
      </w:pPr>
      <w:r>
        <w:t>3. Returns and Product Experience</w:t>
      </w:r>
    </w:p>
    <w:p w14:paraId="6F8770D6">
      <w:r>
        <w:t>The reported overall returns rate is 2.2%, and Shorts is identified as the most returned product type. Among the displayed products, Sport-100 Helmet, Red has a 3.33% return rate, Blue 3.31%, and Black 2.68%. The variation makes the helmet range a reasonable priority for a focused product-experience review.</w:t>
      </w:r>
    </w:p>
    <w:p w14:paraId="0AAC3CCB">
      <w:r>
        <w:t>These rates are signals for investigation, not proof of a product defect. Return reasons, sizing and fit feedback, product descriptions, damage codes and supplier-batch patterns should be considered before assigning a cause. For Shorts, management should review returned units and orders by reason, product, period and territory to identify whether the issue is concentrated or widespread.</w:t>
      </w:r>
    </w:p>
    <w:p w14:paraId="0F100909">
      <w:r>
        <w:t>Performance should be monitored using both return counts and a clearly defined return rate, alongside net revenue and profit after returns. A lower return count alone may reflect lower sales volume; a rate provides context when its numerator and denominator are consistently defined.</w:t>
      </w:r>
    </w:p>
    <w:p w14:paraId="2F9A91EF">
      <w:pPr>
        <w:pStyle w:val="2"/>
      </w:pPr>
      <w:r>
        <w:t>4. Customer and Territory Opportunities</w:t>
      </w:r>
    </w:p>
    <w:p w14:paraId="0AF393BC">
      <w:r>
        <w:t>The customer view reports approximately 17,000 unique customers and revenue per customer of about 1.4K. Customer segments can help guide retention and cross-sell decisions, but the strongest approach is to combine purchase recency, order frequency, revenue and profit contribution rather than rely on income grouping alone.</w:t>
      </w:r>
    </w:p>
    <w:p w14:paraId="29A90C99">
      <w:r>
        <w:t>Customer rankings should be interpreted within a clearly defined period and segment. A top-customer result for a selected year or customer group is not directly comparable with an overall customer ranking unless the scope is the same.</w:t>
      </w:r>
    </w:p>
    <w:p w14:paraId="5797F7D8">
      <w:r>
        <w:t>Territory performance should be assessed using revenue, profit, order volume, growth and returns together. A balanced territory scorecard would help distinguish high-value markets from markets with growth potential or unusually high returns. No territory ranking is asserted here because reliable country-level comparisons are not available in the current reporting view.</w:t>
      </w:r>
    </w:p>
    <w:p w14:paraId="3B991B62">
      <w:pPr>
        <w:pStyle w:val="2"/>
      </w:pPr>
      <w:r>
        <w:t>5. Priority Recommendations</w:t>
      </w:r>
    </w:p>
    <w:p w14:paraId="6C50AA0D">
      <w:pPr>
        <w:pStyle w:val="29"/>
      </w:pPr>
      <w:r>
        <w:rPr>
          <w:b/>
          <w:color w:val="163A5F"/>
        </w:rPr>
        <w:t xml:space="preserve">Reduce avoidable returns. </w:t>
      </w:r>
      <w:r>
        <w:t>Prioritize Shorts and the Sport-100 Helmet range for a review of return reasons, sizing, product information, damage and supplier patterns. Set improvement targets after establishing a consistent baseline.</w:t>
      </w:r>
    </w:p>
    <w:p w14:paraId="7B4E8ECA">
      <w:pPr>
        <w:pStyle w:val="29"/>
      </w:pPr>
      <w:r>
        <w:rPr>
          <w:b/>
          <w:color w:val="163A5F"/>
        </w:rPr>
        <w:t xml:space="preserve">Protect high-demand categories. </w:t>
      </w:r>
      <w:r>
        <w:t>Maintain availability in Tires and Tubes and other high-activity products. Evaluate complementary offers using incremental sales, contribution margin and return rate—not order count alone.</w:t>
      </w:r>
    </w:p>
    <w:p w14:paraId="746418A5">
      <w:pPr>
        <w:pStyle w:val="29"/>
      </w:pPr>
      <w:r>
        <w:rPr>
          <w:b/>
          <w:color w:val="163A5F"/>
        </w:rPr>
        <w:t xml:space="preserve">Explain the revenue/order divergence. </w:t>
      </w:r>
      <w:r>
        <w:t>Track average order value, units per order, product mix and large-order contribution to determine what drove the latest revenue increase while order volume eased.</w:t>
      </w:r>
    </w:p>
    <w:p w14:paraId="014274BE">
      <w:pPr>
        <w:pStyle w:val="29"/>
      </w:pPr>
      <w:r>
        <w:rPr>
          <w:b/>
          <w:color w:val="163A5F"/>
        </w:rPr>
        <w:t xml:space="preserve">Manage customers by value and behavior. </w:t>
      </w:r>
      <w:r>
        <w:t>Use recency, frequency, revenue and profit contribution to shape retention and cross-sell strategies. Compare customer segments using consistent periods and definitions.</w:t>
      </w:r>
    </w:p>
    <w:p w14:paraId="42BAB2D7">
      <w:pPr>
        <w:pStyle w:val="29"/>
      </w:pPr>
      <w:r>
        <w:rPr>
          <w:b/>
          <w:color w:val="163A5F"/>
        </w:rPr>
        <w:t xml:space="preserve">Use a balanced territory scorecard. </w:t>
      </w:r>
      <w:r>
        <w:t>Review territory revenue, profit, orders, growth and returns together before changing investment, sales coverage or local promotions.</w:t>
      </w:r>
    </w:p>
    <w:p w14:paraId="3008A5E1">
      <w:pPr>
        <w:pStyle w:val="29"/>
      </w:pPr>
      <w:r>
        <w:rPr>
          <w:b/>
          <w:color w:val="163A5F"/>
        </w:rPr>
        <w:t xml:space="preserve">Strengthen performance governance. </w:t>
      </w:r>
      <w:r>
        <w:t>Use consistent definitions and time periods for revenue, profit, orders and returns so management decisions are based on comparable measures.</w:t>
      </w:r>
    </w:p>
    <w:p w14:paraId="79810449">
      <w:pPr>
        <w:pStyle w:val="2"/>
      </w:pPr>
      <w:r>
        <w:t>6. Management Measures to Monitor</w:t>
      </w:r>
    </w:p>
    <w:p w14:paraId="04BD0A91">
      <w:r>
        <w:t>A focused monthly review should track revenue growth, profit and profit margin, orders, average order value, return rate, returned units, product/category mix, and performance by territory. Product-level reviews should include availability, revenue, margin and return rate. Customer reviews should monitor recency, frequency, revenue and profit contribution. Targets should be set against an agreed baseline and evaluated over comparable periods.</w:t>
      </w:r>
    </w:p>
    <w:p w14:paraId="58D2CD19">
      <w:pPr>
        <w:pStyle w:val="2"/>
      </w:pPr>
      <w:r>
        <w:t>Reporting Considerations</w:t>
      </w:r>
    </w:p>
    <w:p w14:paraId="30527F6D">
      <w:r>
        <w:t>The executive monthly cards show 2,146 orders versus 2,165 in the prior month, while the subcategory view presents a broader total of 25,164 versus 23,018. The returns card also shows 167 versus 169 while displaying a +1.18% change. These measures may use different scopes or calculation definitions. Before using them for formal performance reviews, ensure the selected periods, filters and percentage calculations are consistent and clearly labelled.</w:t>
      </w:r>
    </w:p>
    <w:p w14:paraId="6DE1533A">
      <w:r>
        <w:t>The product target visuals do not provide usable target comparisons for the selected Road-650 Red, size 52 item. Until actuals and targets can be compared reliably, avoid drawing conclusions about target attainment for that selection. Territory conclusions should similarly be based on a complete and functioning territory-level view.</w:t>
      </w:r>
    </w:p>
    <w:p w14:paraId="5DAA819C">
      <w:pPr>
        <w:pStyle w:val="2"/>
      </w:pPr>
      <w:r>
        <w:t>Conclusion</w:t>
      </w:r>
    </w:p>
    <w:p w14:paraId="6D96576C">
      <w:r>
        <w:t>Territory Works has a strong reported revenue and profit base, with recent revenue growth despite slightly lower order volume. The most actionable opportunities are to understand and reduce avoidable returns, protect high-demand categories, and use customer and territory measures to guide targeted commercial decisions. Consistent performance definitions and comparable reporting periods will make these decisions more reliable and easier to track.</w:t>
      </w:r>
    </w:p>
    <w:sectPr>
      <w:headerReference r:id="rId5" w:type="default"/>
      <w:footerReference r:id="rId6" w:type="default"/>
      <w:pgSz w:w="12240" w:h="15840"/>
      <w:pgMar w:top="1037" w:right="1181" w:bottom="1037" w:left="118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BDA068">
    <w:pPr>
      <w:pStyle w:val="18"/>
      <w:jc w:val="center"/>
    </w:pPr>
    <w:r>
      <w:rPr>
        <w:color w:val="646E78"/>
        <w:sz w:val="16"/>
      </w:rPr>
      <w:t>Executive Insights &amp; Recommendations  •  Power BI Portfolio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88B5B">
    <w:pPr>
      <w:pStyle w:val="19"/>
    </w:pPr>
    <w:r>
      <w:rPr>
        <w:b/>
        <w:color w:val="163A5F"/>
        <w:sz w:val="16"/>
      </w:rPr>
      <w:t>TERRITORY WORKS  |  SALES PERFORMANCE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E96DA20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59" w:lineRule="auto"/>
    </w:pPr>
    <w:rPr>
      <w:rFonts w:ascii="Aptos" w:hAnsi="Aptos" w:eastAsiaTheme="minorEastAsia" w:cstheme="minorBidi"/>
      <w:color w:val="2D3741"/>
      <w:sz w:val="20"/>
      <w:szCs w:val="22"/>
      <w:lang w:val="en-US" w:eastAsia="en-US" w:bidi="ar-SA"/>
    </w:rPr>
  </w:style>
  <w:style w:type="paragraph" w:styleId="2">
    <w:name w:val="heading 1"/>
    <w:basedOn w:val="1"/>
    <w:next w:val="1"/>
    <w:link w:val="138"/>
    <w:qFormat/>
    <w:uiPriority w:val="9"/>
    <w:pPr>
      <w:keepNext/>
      <w:keepLines/>
      <w:spacing w:before="240" w:after="100"/>
      <w:outlineLvl w:val="0"/>
    </w:pPr>
    <w:rPr>
      <w:rFonts w:asciiTheme="majorHAnsi" w:hAnsiTheme="majorHAnsi" w:eastAsiaTheme="majorEastAsia" w:cstheme="majorBidi"/>
      <w:b/>
      <w:bCs/>
      <w:color w:val="163A5F"/>
      <w:sz w:val="34"/>
      <w:szCs w:val="28"/>
    </w:rPr>
  </w:style>
  <w:style w:type="paragraph" w:styleId="3">
    <w:name w:val="heading 2"/>
    <w:basedOn w:val="1"/>
    <w:next w:val="1"/>
    <w:link w:val="139"/>
    <w:unhideWhenUsed/>
    <w:qFormat/>
    <w:uiPriority w:val="9"/>
    <w:pPr>
      <w:keepNext/>
      <w:keepLines/>
      <w:spacing w:before="240" w:after="100"/>
      <w:outlineLvl w:val="1"/>
    </w:pPr>
    <w:rPr>
      <w:rFonts w:asciiTheme="majorHAnsi" w:hAnsiTheme="majorHAnsi" w:eastAsiaTheme="majorEastAsia" w:cstheme="majorBidi"/>
      <w:b/>
      <w:bCs/>
      <w:color w:val="167D9A"/>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before="0" w:after="100" w:line="240" w:lineRule="auto"/>
      <w:contextualSpacing/>
    </w:pPr>
    <w:rPr>
      <w:rFonts w:asciiTheme="majorHAnsi" w:hAnsiTheme="majorHAnsi" w:eastAsiaTheme="majorEastAsia" w:cstheme="majorBidi"/>
      <w:b/>
      <w:color w:val="163A5F"/>
      <w:spacing w:val="5"/>
      <w:kern w:val="28"/>
      <w:sz w:val="6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Portfolio Analysis</dc:creator>
  <dc:description>generated by python-docx</dc:description>
  <cp:keywords>Territory Works, Power BI, sales analytics, executive insights</cp:keywords>
  <cp:lastModifiedBy>kay</cp:lastModifiedBy>
  <dcterms:modified xsi:type="dcterms:W3CDTF">2026-10-17T14:42:47Z</dcterms:modified>
  <dc:subject>Executive sales performance analysis</dc:subject>
  <dc:title>Territory Works — Executive Insights and Recommendations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865969E0343FD6C46789D36A855522F1_42</vt:lpwstr>
  </property>
</Properties>
</file>