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DE6C8">
      <w:pPr>
        <w:spacing w:before="900"/>
        <w:jc w:val="center"/>
      </w:pPr>
      <w:r>
        <w:rPr>
          <w:rFonts w:ascii="Aptos Display" w:hAnsi="Aptos Display"/>
          <w:b/>
          <w:color w:val="17365D"/>
          <w:sz w:val="50"/>
        </w:rPr>
        <w:t>PHARMACEUTICAL SALES</w:t>
      </w:r>
      <w:r>
        <w:rPr>
          <w:rFonts w:hint="default" w:ascii="Aptos Display" w:hAnsi="Aptos Display"/>
          <w:b/>
          <w:color w:val="17365D"/>
          <w:sz w:val="50"/>
          <w:lang w:val="en-US"/>
        </w:rPr>
        <w:t>&amp;</w:t>
      </w:r>
      <w:r>
        <w:rPr>
          <w:rFonts w:ascii="Aptos Display" w:hAnsi="Aptos Display"/>
          <w:b/>
          <w:color w:val="17365D"/>
          <w:sz w:val="50"/>
        </w:rPr>
        <w:t>PERFORMANCE ANALYSIS</w:t>
      </w:r>
    </w:p>
    <w:p w14:paraId="7D754A16">
      <w:pPr>
        <w:jc w:val="center"/>
      </w:pPr>
      <w:r>
        <w:rPr>
          <w:color w:val="1F4E79"/>
          <w:sz w:val="28"/>
        </w:rPr>
        <w:t>Executive Insights &amp; Actionable Recommendations</w:t>
      </w:r>
    </w:p>
    <w:p w14:paraId="6EBCC0FA">
      <w:pPr>
        <w:jc w:val="center"/>
      </w:pPr>
      <w:r>
        <w:rPr>
          <w:i/>
          <w:sz w:val="20"/>
        </w:rPr>
        <w:t>Power BI Portfolio Project | 2017–2020</w:t>
      </w:r>
    </w:p>
    <w:p w14:paraId="46F0825E"/>
    <w:p w14:paraId="2A45EE2F">
      <w:pPr>
        <w:ind w:left="1008" w:right="1008"/>
        <w:jc w:val="center"/>
      </w:pPr>
      <w:r>
        <w:rPr>
          <w:sz w:val="22"/>
        </w:rPr>
        <w:t>Analysis of 254,078 pharmaceutical sales records, translating commercial performance data into specific management actions.</w:t>
      </w:r>
    </w:p>
    <w:p w14:paraId="18A89784">
      <w:r>
        <w:br w:type="page"/>
      </w:r>
    </w:p>
    <w:p w14:paraId="1E153E08">
      <w:pPr>
        <w:pStyle w:val="2"/>
      </w:pPr>
      <w:r>
        <w:t>Executive Summary</w:t>
      </w:r>
    </w:p>
    <w:p w14:paraId="5D913896">
      <w:r>
        <w:rPr>
          <w:i w:val="0"/>
        </w:rPr>
        <w:t>The analysis of 254,078 pharmaceutical sales records identifies three immediate priorities: the sustained decline in annual net sales after 2018, the sharp increase in returns by 2020, and the concentration of returns within distributor Koss and specific products such as Dantolac Pazocor. The product-level comparison also identifies Ionclotide, Antaparin Varizyme, Amavirase and Pentastrin as major contributors to the 2019–2020 revenue decline.</w:t>
      </w:r>
    </w:p>
    <w:p w14:paraId="7FF9CCAB">
      <w:r>
        <w:rPr>
          <w:i w:val="0"/>
        </w:rPr>
        <w:t>The recommended response is to establish a product recovery programme, investigate high-return products and distributors, and incorporate return rates into sales-team performance reviews. Market development should protect Germany’s dominant contribution while assessing Poland’s growth potential using customer, product and market evidence. Integrating product cost data will enable the organization to progress from revenue reporting to true profitability analysis.</w:t>
      </w:r>
    </w:p>
    <w:p w14:paraId="5F73679B">
      <w:r>
        <w:rPr>
          <w:i w:val="0"/>
        </w:rPr>
        <w:t>Data note: The dataset does not specify a currency, so monetary values are presented in the dataset’s units. Negative sales and quantities are treated as returns. Proposed targets are recommendations, not historical results</w:t>
      </w:r>
      <w:r>
        <w:rPr>
          <w:rFonts w:hint="default"/>
          <w:i w:val="0"/>
          <w:lang w:val="en-US"/>
        </w:rPr>
        <w:t>.</w:t>
      </w:r>
      <w:r>
        <w:rPr>
          <w:i w:val="0"/>
        </w:rPr>
        <w:t xml:space="preserve"> </w:t>
      </w:r>
      <w:bookmarkStart w:id="0" w:name="_GoBack"/>
      <w:bookmarkEnd w:id="0"/>
    </w:p>
    <w:p w14:paraId="79DEA6FF">
      <w:pPr>
        <w:pStyle w:val="2"/>
      </w:pPr>
      <w:r>
        <w:t>1. Revenue Has Declined for Two Consecutive Years Following the 2018 Peak</w:t>
      </w:r>
    </w:p>
    <w:p w14:paraId="58BFE617"/>
    <w:p w14:paraId="07AD935E">
      <w:r>
        <w:rPr>
          <w:i w:val="0"/>
        </w:rPr>
        <w:t>Insight: Net sales fell from 3.51 billion in 2018 to 2.66 billion in 2020—a decline of approximately 847.2 million, or 24.2%. The decline continued into 2020 rather than recovering. This warrants a targeted investigation of the products driving the decline instead of treating the result as a general sales problem.</w:t>
      </w:r>
    </w:p>
    <w:p w14:paraId="38A17DA7">
      <w:r>
        <w:rPr>
          <w:i w:val="0"/>
        </w:rPr>
        <w:t>Recommendation — implement a product-level revenue recovery plan.</w:t>
      </w:r>
    </w:p>
    <w:p w14:paraId="4C924343">
      <w:pPr>
        <w:pStyle w:val="23"/>
        <w:spacing w:after="40"/>
      </w:pPr>
      <w:r>
        <w:t>Compare 2019 with 2020 revenue for every product and rank products by the absolute decrease.</w:t>
      </w:r>
    </w:p>
    <w:p w14:paraId="54D20A18">
      <w:pPr>
        <w:pStyle w:val="23"/>
        <w:spacing w:after="40"/>
      </w:pPr>
      <w:r>
        <w:t>Assign the largest declining products to the relevant sales manager for a product-specific recovery plan.</w:t>
      </w:r>
    </w:p>
    <w:p w14:paraId="2F59BB1F">
      <w:pPr>
        <w:pStyle w:val="23"/>
        <w:spacing w:after="40"/>
      </w:pPr>
      <w:r>
        <w:t>For each product, check whether the decline reflects fewer units sold, reduced selling prices, fewer active customers, or supply and distribution issues.</w:t>
      </w:r>
    </w:p>
    <w:p w14:paraId="7508AF95">
      <w:pPr>
        <w:pStyle w:val="23"/>
        <w:spacing w:after="40"/>
      </w:pPr>
      <w:r>
        <w:t>Review results monthly using net sales and units sold against the same month in the previous year.</w:t>
      </w:r>
    </w:p>
    <w:p w14:paraId="591775EE">
      <w:r>
        <w:rPr>
          <w:i w:val="0"/>
        </w:rPr>
        <w:t>The first products to investigate are Ionclotide, Antaparin Varizyme, Amavirase and Pentastrin, which experienced particularly large revenue decreases between 2019 and 2020.</w:t>
      </w:r>
    </w:p>
    <w:p w14:paraId="5CF9E2A9">
      <w:pPr>
        <w:pStyle w:val="2"/>
      </w:pPr>
      <w:r>
        <w:t>2. Four Products Experienced Exceptionally Large Year-on-Year Declines</w:t>
      </w:r>
    </w:p>
    <w:p w14:paraId="0C4C4151"/>
    <w:p w14:paraId="3E7C9A98">
      <w:r>
        <w:rPr>
          <w:i w:val="0"/>
        </w:rPr>
        <w:t>Insight: Ionclotide alone lost approximately 78.2 million in annual sales value. The four products above collectively declined by approximately 172.3 million. These are concrete product-level contributors to the company’s wider revenue contraction.</w:t>
      </w:r>
    </w:p>
    <w:p w14:paraId="0309DC9B">
      <w:r>
        <w:rPr>
          <w:i w:val="0"/>
        </w:rPr>
        <w:t>Recommendation — launch a focused recovery review for these four products.</w:t>
      </w:r>
    </w:p>
    <w:p w14:paraId="3D69D10B">
      <w:pPr>
        <w:pStyle w:val="23"/>
        <w:spacing w:after="40"/>
      </w:pPr>
      <w:r>
        <w:t>Ionclotide: review the exceptional fall from 90.21M to 12.01M. Check major customer orders, distributor availability, stock-outs and whether the 2019 result was driven by unusually large orders that did not recur.</w:t>
      </w:r>
    </w:p>
    <w:p w14:paraId="72E536AB">
      <w:pPr>
        <w:pStyle w:val="23"/>
        <w:spacing w:after="40"/>
      </w:pPr>
      <w:r>
        <w:t>Antaparin Varizyme and Amavirase: review customer ordering frequency and the number of active customers purchasing each product in both years.</w:t>
      </w:r>
    </w:p>
    <w:p w14:paraId="659A590D">
      <w:pPr>
        <w:pStyle w:val="23"/>
        <w:spacing w:after="40"/>
      </w:pPr>
      <w:r>
        <w:t>Pentastrin: compare unit volume and average selling price between the two years to establish whether the decline was volume-driven or price-driven.</w:t>
      </w:r>
    </w:p>
    <w:p w14:paraId="348E7D34">
      <w:pPr>
        <w:pStyle w:val="23"/>
        <w:spacing w:after="40"/>
      </w:pPr>
      <w:r>
        <w:t>Require a documented recovery action for each product, with a monthly sales target and a named sales manager responsible for follow-up.</w:t>
      </w:r>
    </w:p>
    <w:p w14:paraId="3E5BE945">
      <w:r>
        <w:rPr>
          <w:i w:val="0"/>
        </w:rPr>
        <w:t>These figures identify where to investigate first; they do not by themselves prove why the declines occurred.</w:t>
      </w:r>
    </w:p>
    <w:p w14:paraId="2AD273D1">
      <w:pPr>
        <w:pStyle w:val="2"/>
      </w:pPr>
      <w:r>
        <w:t>3. Returns Have Increased Sharply and Are Eroding More Sales Value</w:t>
      </w:r>
    </w:p>
    <w:p w14:paraId="7BB4C501"/>
    <w:p w14:paraId="5C7B0286">
      <w:r>
        <w:rPr>
          <w:i w:val="0"/>
        </w:rPr>
        <w:t>Across all four years, the dataset records gross sales of 11.95 billion, returns recorded as negative sales of 146.48 million, net sales after returns of 11.80 billion, and returned quantity of 357,440 units. Overall return value was 1.23% of gross sales.</w:t>
      </w:r>
    </w:p>
    <w:p w14:paraId="516A9587">
      <w:r>
        <w:rPr>
          <w:i w:val="0"/>
        </w:rPr>
        <w:t>Insight: Return value increased from 16.45M in 2017 to 58.88M in 2020—approximately 3.6 times higher. The 2020 return rate of 2.17% was more than three times the 2017 rate of 0.61%.</w:t>
      </w:r>
    </w:p>
    <w:p w14:paraId="1761F9B7">
      <w:r>
        <w:rPr>
          <w:i w:val="0"/>
        </w:rPr>
        <w:t>Recommendation — introduce a monthly returns investigation process.</w:t>
      </w:r>
    </w:p>
    <w:p w14:paraId="34945A6E">
      <w:pPr>
        <w:pStyle w:val="23"/>
        <w:spacing w:after="40"/>
      </w:pPr>
      <w:r>
        <w:t>Investigate products and distributors with the highest return rates, not just the highest absolute return values.</w:t>
      </w:r>
    </w:p>
    <w:p w14:paraId="3193660B">
      <w:pPr>
        <w:pStyle w:val="23"/>
        <w:spacing w:after="40"/>
      </w:pPr>
      <w:r>
        <w:t>Record return reasons using standardized categories: ordering error, damaged goods, expiry, delivery error, quality concern, or other.</w:t>
      </w:r>
    </w:p>
    <w:p w14:paraId="638C1AC7">
      <w:pPr>
        <w:pStyle w:val="23"/>
        <w:spacing w:after="40"/>
      </w:pPr>
      <w:r>
        <w:t>Set an initial company-wide improvement objective to reduce the return value rate from 2.17% in 2020 to 1.5% or lower within 12 months. This is a proposed target, not a historical result.</w:t>
      </w:r>
    </w:p>
    <w:p w14:paraId="262F33D5">
      <w:pPr>
        <w:pStyle w:val="23"/>
        <w:spacing w:after="40"/>
      </w:pPr>
      <w:r>
        <w:t>Review return rates monthly by product, distributor, sales team and customer, and track whether corrective action reduces repeat returns.</w:t>
      </w:r>
    </w:p>
    <w:p w14:paraId="24F50CD7">
      <w:r>
        <w:rPr>
          <w:i w:val="0"/>
        </w:rPr>
        <w:t>Refine the target after management confirms the current baseline and the business reasons for returns.</w:t>
      </w:r>
    </w:p>
    <w:p w14:paraId="4C1A0A0B">
      <w:pPr>
        <w:pStyle w:val="2"/>
      </w:pPr>
      <w:r>
        <w:t>4. Dantolac Pazocor Is the First Product to Investigate for Returns</w:t>
      </w:r>
    </w:p>
    <w:p w14:paraId="14618333"/>
    <w:p w14:paraId="7341E64D">
      <w:r>
        <w:rPr>
          <w:i w:val="0"/>
        </w:rPr>
        <w:t>Return rate is defined here as return value divided by gross positive sales value. Dantolac Pazocor has the highest return rate among products with at least 100 records in the dataset. Its 5.22M in returns represents 9.49% of gross sales—substantially above the overall rate of 1.23%.</w:t>
      </w:r>
    </w:p>
    <w:p w14:paraId="63CEDA47">
      <w:r>
        <w:rPr>
          <w:i w:val="0"/>
        </w:rPr>
        <w:t>A particularly important record is transaction ID 104664: 7,200 units of Dantolac Pazocor were returned through distributor Koss, with a negative sales value of 4.16M. The customer was Welch-Orn Pharm in Germany, and the transaction was associated with Sales Team Delta in August 2019.</w:t>
      </w:r>
    </w:p>
    <w:p w14:paraId="51EA5183">
      <w:r>
        <w:rPr>
          <w:i w:val="0"/>
        </w:rPr>
        <w:t>Recommendation — conduct a targeted Dantolac Pazocor returns review.</w:t>
      </w:r>
    </w:p>
    <w:p w14:paraId="396BC67B">
      <w:pPr>
        <w:pStyle w:val="23"/>
        <w:spacing w:after="40"/>
      </w:pPr>
      <w:r>
        <w:t>Reconcile transaction 104664 against the original order, delivery note and return authorization.</w:t>
      </w:r>
    </w:p>
    <w:p w14:paraId="4387BE7F">
      <w:pPr>
        <w:pStyle w:val="23"/>
        <w:spacing w:after="40"/>
      </w:pPr>
      <w:r>
        <w:t>Review all Dantolac Pazocor returns handled by Koss, particularly the 4.24M returned value associated with this product-distributor combination.</w:t>
      </w:r>
    </w:p>
    <w:p w14:paraId="6286CF36">
      <w:pPr>
        <w:pStyle w:val="23"/>
        <w:spacing w:after="40"/>
      </w:pPr>
      <w:r>
        <w:t>Determine whether the cause was expiry, damage, excess ordering, a delivery issue or a data-entry error.</w:t>
      </w:r>
    </w:p>
    <w:p w14:paraId="7E30E2F0">
      <w:pPr>
        <w:pStyle w:val="23"/>
        <w:spacing w:after="40"/>
      </w:pPr>
      <w:r>
        <w:t>Apply the relevant corrective action, such as improved ordering limits, stock rotation, delivery checks or customer-order confirmation.</w:t>
      </w:r>
    </w:p>
    <w:p w14:paraId="2B4EE3FF">
      <w:pPr>
        <w:pStyle w:val="23"/>
        <w:spacing w:after="40"/>
      </w:pPr>
      <w:r>
        <w:t>Apply the same review to Ketamara Evogel, which recorded 4.13M in returns, and Exexone, whose return rate was 6.51%.</w:t>
      </w:r>
    </w:p>
    <w:p w14:paraId="7802ABFB">
      <w:pPr>
        <w:pStyle w:val="2"/>
      </w:pPr>
      <w:r>
        <w:t>5. Distributor Koss Accounts for a Disproportionate Share of Returns</w:t>
      </w:r>
    </w:p>
    <w:p w14:paraId="43631528"/>
    <w:p w14:paraId="250AE7CC">
      <w:r>
        <w:rPr>
          <w:i w:val="0"/>
        </w:rPr>
        <w:t>Insight: Koss generated 3.09 billion in net sales but accounted for 76.52M in returns, approximately 52.2% of all return value in the dataset. Its return rate of 2.42% is nearly twice the overall rate of 1.23%. Gerlach LLC generated the highest net sales, at 3.50 billion, but its return rate was lower at 1.13%.</w:t>
      </w:r>
    </w:p>
    <w:p w14:paraId="7ADFB2B2">
      <w:r>
        <w:rPr>
          <w:i w:val="0"/>
        </w:rPr>
        <w:t>Recommendation — place Koss on a formal returns-reduction improvement plan.</w:t>
      </w:r>
    </w:p>
    <w:p w14:paraId="0E0771AC">
      <w:pPr>
        <w:pStyle w:val="23"/>
        <w:spacing w:after="40"/>
      </w:pPr>
      <w:r>
        <w:t>Conduct a joint review of its highest-return products, starting with Dantolac Pazocor and Ketamara Evogel.</w:t>
      </w:r>
    </w:p>
    <w:p w14:paraId="389183D7">
      <w:pPr>
        <w:pStyle w:val="23"/>
        <w:spacing w:after="40"/>
      </w:pPr>
      <w:r>
        <w:t>Break down Koss returns by customer, product, sales team and month to identify repeat patterns.</w:t>
      </w:r>
    </w:p>
    <w:p w14:paraId="4E86141C">
      <w:pPr>
        <w:pStyle w:val="23"/>
        <w:spacing w:after="40"/>
      </w:pPr>
      <w:r>
        <w:t>Require a documented root cause and corrective action for every material return.</w:t>
      </w:r>
    </w:p>
    <w:p w14:paraId="1FB4153E">
      <w:pPr>
        <w:pStyle w:val="23"/>
        <w:spacing w:after="40"/>
      </w:pPr>
      <w:r>
        <w:t>Introduce a monthly distributor scorecard showing net sales, return value, return rate and repeat-return cases.</w:t>
      </w:r>
    </w:p>
    <w:p w14:paraId="1CA82373">
      <w:pPr>
        <w:pStyle w:val="23"/>
        <w:spacing w:after="40"/>
      </w:pPr>
      <w:r>
        <w:t>Set a proposed 12-month objective to reduce Koss’s return rate from 2.42% to 1.5% or below, subject to validation of the current rate and causes.</w:t>
      </w:r>
    </w:p>
    <w:p w14:paraId="0280B482">
      <w:r>
        <w:rPr>
          <w:i w:val="0"/>
        </w:rPr>
        <w:t>This is a high-priority intervention because it addresses the distributor with the largest recorded return value and a materially elevated return rate.</w:t>
      </w:r>
    </w:p>
    <w:p w14:paraId="7FD095DA">
      <w:pPr>
        <w:pStyle w:val="2"/>
      </w:pPr>
      <w:r>
        <w:t>6. Sales Team Alfa Has the Highest Return Rate, While Delta Generates the Most Revenue</w:t>
      </w:r>
    </w:p>
    <w:p w14:paraId="06995320"/>
    <w:p w14:paraId="56409905">
      <w:r>
        <w:rPr>
          <w:i w:val="0"/>
        </w:rPr>
        <w:t>Insight: Delta is the largest team by net sales, contributing approximately 30.8% of total net sales. Alfa has the highest return rate at 1.56%, compared with Bravo’s 1.03%. Alfa’s return rate is approximately 52% higher than Bravo’s.</w:t>
      </w:r>
    </w:p>
    <w:p w14:paraId="23336011">
      <w:r>
        <w:rPr>
          <w:i w:val="0"/>
        </w:rPr>
        <w:t>Recommendation — prioritize returns coaching for Alfa, while preserving Delta’s sales strengths.</w:t>
      </w:r>
    </w:p>
    <w:p w14:paraId="6431563B">
      <w:pPr>
        <w:pStyle w:val="23"/>
        <w:spacing w:after="40"/>
      </w:pPr>
      <w:r>
        <w:t>Have Alfa’s manager review the team’s highest-return products and customer accounts.</w:t>
      </w:r>
    </w:p>
    <w:p w14:paraId="289E0F85">
      <w:pPr>
        <w:pStyle w:val="23"/>
        <w:spacing w:after="40"/>
      </w:pPr>
      <w:r>
        <w:t>Compare Alfa’s ordering, product handling, customer confirmation and return patterns with Bravo’s practices.</w:t>
      </w:r>
    </w:p>
    <w:p w14:paraId="4E84B967">
      <w:pPr>
        <w:pStyle w:val="23"/>
        <w:spacing w:after="40"/>
      </w:pPr>
      <w:r>
        <w:t>Use the evidence for targeted coaching rather than simply increasing sales targets.</w:t>
      </w:r>
    </w:p>
    <w:p w14:paraId="34AB97E7">
      <w:pPr>
        <w:pStyle w:val="23"/>
        <w:spacing w:after="40"/>
      </w:pPr>
      <w:r>
        <w:t>Have Delta document effective sales and account-management practices that may be transferable to other teams.</w:t>
      </w:r>
    </w:p>
    <w:p w14:paraId="3600101A">
      <w:pPr>
        <w:pStyle w:val="23"/>
        <w:spacing w:after="40"/>
      </w:pPr>
      <w:r>
        <w:t>Evaluate team performance using both net sales and return rate, accounting for territory, customer mix and workload.</w:t>
      </w:r>
    </w:p>
    <w:p w14:paraId="5CC8E019">
      <w:r>
        <w:rPr>
          <w:i w:val="0"/>
        </w:rPr>
        <w:t>The dataset associates Alfa with James Goodwill, Delta with Britanny Bold, Charlie with Alisha Cordwell, and Bravo with Tracy Banks. These associations can be used to assign follow-up within the report, but performance comparisons should account for territory, customer mix and workload before judging individuals.</w:t>
      </w:r>
    </w:p>
    <w:p w14:paraId="0431BBB9">
      <w:pPr>
        <w:pStyle w:val="2"/>
      </w:pPr>
      <w:r>
        <w:t>7. Sales Representative Thompson Crawford Has the Highest Return Rate</w:t>
      </w:r>
    </w:p>
    <w:p w14:paraId="7025B868">
      <w:r>
        <w:rPr>
          <w:i w:val="0"/>
        </w:rPr>
        <w:t>Insight: Thompson Crawford recorded approximately 866.97M in net sales, 40,017 returned units and 17.04M in return value. The representative’s return rate was 1.93%, the highest among the 13 representatives in the dataset. Daniel Gates also warrants review, with 14.90M in returns and a 1.54% return rate.</w:t>
      </w:r>
    </w:p>
    <w:p w14:paraId="61669376">
      <w:r>
        <w:rPr>
          <w:i w:val="0"/>
        </w:rPr>
        <w:t>Recommendation — perform a transaction-level review before taking performance action.</w:t>
      </w:r>
    </w:p>
    <w:p w14:paraId="0B004786">
      <w:pPr>
        <w:pStyle w:val="23"/>
        <w:spacing w:after="40"/>
      </w:pPr>
      <w:r>
        <w:t>Review Thompson Crawford’s returned transactions by product, distributor and customer.</w:t>
      </w:r>
    </w:p>
    <w:p w14:paraId="145D8B67">
      <w:pPr>
        <w:pStyle w:val="23"/>
        <w:spacing w:after="40"/>
      </w:pPr>
      <w:r>
        <w:t>Determine whether the pattern is concentrated in a small number of customers or products.</w:t>
      </w:r>
    </w:p>
    <w:p w14:paraId="7D22FF26">
      <w:pPr>
        <w:pStyle w:val="23"/>
        <w:spacing w:after="40"/>
      </w:pPr>
      <w:r>
        <w:t>If returns arise from order-entry or customer-confirmation issues, introduce focused coaching and an order-verification checklist.</w:t>
      </w:r>
    </w:p>
    <w:p w14:paraId="42A2FC47">
      <w:pPr>
        <w:pStyle w:val="23"/>
        <w:spacing w:after="40"/>
      </w:pPr>
      <w:r>
        <w:t>If the cause is distributor handling or product availability, coordinate corrective action with the distributor rather than attributing the issue solely to the representative.</w:t>
      </w:r>
    </w:p>
    <w:p w14:paraId="7E864AB5">
      <w:pPr>
        <w:pStyle w:val="23"/>
        <w:spacing w:after="40"/>
      </w:pPr>
      <w:r>
        <w:t>Monitor return rate and net sales together over the next three months.</w:t>
      </w:r>
    </w:p>
    <w:p w14:paraId="35E6E95A">
      <w:r>
        <w:rPr>
          <w:i w:val="0"/>
        </w:rPr>
        <w:t>This is a targeted quality-improvement action, not a conclusion that the representative is underperforming overall.</w:t>
      </w:r>
    </w:p>
    <w:p w14:paraId="5DB4A6A8">
      <w:pPr>
        <w:pStyle w:val="2"/>
      </w:pPr>
      <w:r>
        <w:t>8. Germany Dominates Sales, While Poland Is a Smaller Market</w:t>
      </w:r>
    </w:p>
    <w:p w14:paraId="16041FB1"/>
    <w:p w14:paraId="33E10970">
      <w:r>
        <w:rPr>
          <w:i w:val="0"/>
        </w:rPr>
        <w:t>Insight: Approximately 94% of recorded net sales come from Germany. Poland accounts for only 5.77%, despite having 40,483 records compared with Germany’s 213,595. The difference in sales contribution is large enough to justify a separate market review.</w:t>
      </w:r>
    </w:p>
    <w:p w14:paraId="69E5927D">
      <w:r>
        <w:rPr>
          <w:i w:val="0"/>
        </w:rPr>
        <w:t>Recommendation — establish two distinct market plans.</w:t>
      </w:r>
    </w:p>
    <w:p w14:paraId="1BE52194">
      <w:pPr>
        <w:pStyle w:val="23"/>
        <w:spacing w:after="40"/>
      </w:pPr>
      <w:r>
        <w:t>Germany: protect the core market by monitoring major distributors, product availability and returns. Prioritize fixing Koss’s returns issue.</w:t>
      </w:r>
    </w:p>
    <w:p w14:paraId="769857AB">
      <w:pPr>
        <w:pStyle w:val="23"/>
        <w:spacing w:after="40"/>
      </w:pPr>
      <w:r>
        <w:t>Poland: assess product availability, distributor coverage, customer purchasing patterns and sales performance by product class. Identify products that already sell consistently and assess whether additional customers can be served profitably.</w:t>
      </w:r>
    </w:p>
    <w:p w14:paraId="45484662">
      <w:pPr>
        <w:pStyle w:val="23"/>
        <w:spacing w:after="40"/>
      </w:pPr>
      <w:r>
        <w:t>Set Poland growth targets only after comparing market potential, competition, product registration requirements, distribution costs and customer demand.</w:t>
      </w:r>
    </w:p>
    <w:p w14:paraId="1D8CB9A3">
      <w:r>
        <w:rPr>
          <w:i w:val="0"/>
        </w:rPr>
        <w:t>Track monthly net sales, active customers, units sold and return rate separately for each country.</w:t>
      </w:r>
    </w:p>
    <w:p w14:paraId="2EB964C5">
      <w:pPr>
        <w:pStyle w:val="2"/>
      </w:pPr>
      <w:r>
        <w:t>9. Pharmacy and Hospital Channels Both Matter</w:t>
      </w:r>
    </w:p>
    <w:p w14:paraId="1E9610B3"/>
    <w:p w14:paraId="491BECC8">
      <w:r>
        <w:rPr>
          <w:i w:val="0"/>
        </w:rPr>
        <w:t>Insight: Pharmacy generates slightly more net sales than Hospital, but the channels are relatively balanced. Their return rates are also almost identical. The data does not justify a major shift of resources from one channel to the other.</w:t>
      </w:r>
    </w:p>
    <w:p w14:paraId="1B62050F">
      <w:r>
        <w:rPr>
          <w:i w:val="0"/>
        </w:rPr>
        <w:t>Recommendation — maintain both channels and focus on account-level growth.</w:t>
      </w:r>
    </w:p>
    <w:p w14:paraId="278F4A8B">
      <w:pPr>
        <w:pStyle w:val="23"/>
        <w:spacing w:after="40"/>
      </w:pPr>
      <w:r>
        <w:t>In Pharmacy, review the Retail sub-channel, which contributed 3.34B in net sales, and identify which products and customers account for its strongest results.</w:t>
      </w:r>
    </w:p>
    <w:p w14:paraId="07770800">
      <w:pPr>
        <w:pStyle w:val="23"/>
        <w:spacing w:after="40"/>
      </w:pPr>
      <w:r>
        <w:t>In Hospital, review the Institution sub-channel, which contributed 2.88B in net sales, and examine customer purchasing patterns and product availability.</w:t>
      </w:r>
    </w:p>
    <w:p w14:paraId="118A5C16">
      <w:pPr>
        <w:pStyle w:val="23"/>
        <w:spacing w:after="40"/>
      </w:pPr>
      <w:r>
        <w:t>Compare growth, active accounts, average order value and returns within each channel before allocating additional sales resources.</w:t>
      </w:r>
    </w:p>
    <w:p w14:paraId="73DBD2C7">
      <w:pPr>
        <w:pStyle w:val="23"/>
        <w:spacing w:after="40"/>
      </w:pPr>
      <w:r>
        <w:t>Develop separate plans for Retail, Government, Institution and Private sub-channels.</w:t>
      </w:r>
    </w:p>
    <w:p w14:paraId="03BE366F">
      <w:r>
        <w:rPr>
          <w:i w:val="0"/>
        </w:rPr>
        <w:t>The objective is to grow the channel with the strongest verified opportunity, not simply the channel with the larger total.</w:t>
      </w:r>
    </w:p>
    <w:p w14:paraId="0A303FDC">
      <w:pPr>
        <w:pStyle w:val="2"/>
      </w:pPr>
      <w:r>
        <w:t>10. Analgesics Is the Leading Product Class</w:t>
      </w:r>
    </w:p>
    <w:p w14:paraId="4391598F"/>
    <w:p w14:paraId="1891FB61">
      <w:r>
        <w:rPr>
          <w:i w:val="0"/>
        </w:rPr>
        <w:t>Insight: Analgesics is the largest product class by net sales, contributing 20.10% of the total. Immunomodulatory contributes only 0.52%, with 61.76M in net sales. The six larger classes account for nearly all recorded sales.</w:t>
      </w:r>
    </w:p>
    <w:p w14:paraId="34A226EC">
      <w:r>
        <w:rPr>
          <w:i w:val="0"/>
        </w:rPr>
        <w:t>Recommendation — prioritize the core portfolio while investigating the small segment.</w:t>
      </w:r>
    </w:p>
    <w:p w14:paraId="5A658CE8">
      <w:pPr>
        <w:pStyle w:val="23"/>
        <w:spacing w:after="40"/>
      </w:pPr>
      <w:r>
        <w:t>Protect availability and customer coverage for Analgesics, Antiseptics and Mood Stabilizers, which together contribute approximately 56.5% of net sales.</w:t>
      </w:r>
    </w:p>
    <w:p w14:paraId="48FC3E1B">
      <w:pPr>
        <w:pStyle w:val="23"/>
        <w:spacing w:after="40"/>
      </w:pPr>
      <w:r>
        <w:t>Review Immunomodulatory to establish whether its low contribution reflects limited demand, fewer products, restricted distribution, stock availability or a deliberate portfolio strategy.</w:t>
      </w:r>
    </w:p>
    <w:p w14:paraId="76C7EB54">
      <w:pPr>
        <w:pStyle w:val="23"/>
        <w:spacing w:after="40"/>
      </w:pPr>
      <w:r>
        <w:t>Compare product count, active customers, unit volumes and revenue per product within each class before deciding whether to invest in or reduce the segment.</w:t>
      </w:r>
    </w:p>
    <w:p w14:paraId="4691F928">
      <w:pPr>
        <w:pStyle w:val="23"/>
        <w:spacing w:after="40"/>
      </w:pPr>
      <w:r>
        <w:t>Do not discontinue or deprioritize pharmaceutical products solely because sales are low; consider clinical importance, contractual obligations, regulatory requirements and portfolio strategy.</w:t>
      </w:r>
    </w:p>
    <w:p w14:paraId="023372DD">
      <w:pPr>
        <w:pStyle w:val="2"/>
      </w:pPr>
      <w:r>
        <w:t>11. August 2019 Contains an Exceptional Transaction That Needs Validation</w:t>
      </w:r>
    </w:p>
    <w:p w14:paraId="4AAC21BF">
      <w:r>
        <w:rPr>
          <w:i w:val="0"/>
        </w:rPr>
        <w:t>Insight: August 2019 recorded the highest monthly net sales, at 480.26M. January 2019 was the lowest month, at 97.66M.</w:t>
      </w:r>
    </w:p>
    <w:p w14:paraId="03278C56"/>
    <w:p w14:paraId="0C370D90">
      <w:r>
        <w:rPr>
          <w:i w:val="0"/>
        </w:rPr>
        <w:t>The transaction represents approximately 15.4% of August 2019 net sales and about 82% of Ionclotide’s recorded 2019 sales value of 90.21M.</w:t>
      </w:r>
    </w:p>
    <w:p w14:paraId="29C9A4B0">
      <w:r>
        <w:rPr>
          <w:i w:val="0"/>
        </w:rPr>
        <w:t>Recommendation — validate material bulk transactions and distinguish recurring demand from exceptional orders.</w:t>
      </w:r>
    </w:p>
    <w:p w14:paraId="78037A7B">
      <w:pPr>
        <w:pStyle w:val="23"/>
        <w:spacing w:after="40"/>
      </w:pPr>
      <w:r>
        <w:t>Verify the transaction against the original invoice, purchase order, delivery documentation and quantity records.</w:t>
      </w:r>
    </w:p>
    <w:p w14:paraId="20212417">
      <w:pPr>
        <w:pStyle w:val="23"/>
        <w:spacing w:after="40"/>
      </w:pPr>
      <w:r>
        <w:t>Confirm whether the order was fulfilled and whether any subsequent return or credit adjustment was recorded.</w:t>
      </w:r>
    </w:p>
    <w:p w14:paraId="12DE8E5D">
      <w:pPr>
        <w:pStyle w:val="23"/>
        <w:spacing w:after="40"/>
      </w:pPr>
      <w:r>
        <w:t>In the executive dashboard, flag unusually large transactions for review rather than automatically treating them as errors.</w:t>
      </w:r>
    </w:p>
    <w:p w14:paraId="220797C4">
      <w:pPr>
        <w:pStyle w:val="23"/>
        <w:spacing w:after="40"/>
      </w:pPr>
      <w:r>
        <w:t>Report monthly sales both including and, where analytically useful, excluding exceptional transactions to distinguish underlying momentum from one-off bulk orders.</w:t>
      </w:r>
    </w:p>
    <w:p w14:paraId="5F195408">
      <w:pPr>
        <w:pStyle w:val="2"/>
      </w:pPr>
      <w:r>
        <w:t>12. Revenue Is Measurable, but Profitability Is Not Yet Established</w:t>
      </w:r>
    </w:p>
    <w:p w14:paraId="094E542E">
      <w:r>
        <w:rPr>
          <w:i w:val="0"/>
        </w:rPr>
        <w:t>Insight: The dataset includes Quantity, Price and Sales, with Sales matching Quantity multiplied by Price. It does not contain product cost, gross margin, operating expenses or other cost information. Therefore, the current analysis measures sales performance and returns—not actual profit.</w:t>
      </w:r>
    </w:p>
    <w:p w14:paraId="51AD89B7">
      <w:r>
        <w:rPr>
          <w:i w:val="0"/>
        </w:rPr>
        <w:t>Recommendation — extend the model with reliable cost information.</w:t>
      </w:r>
    </w:p>
    <w:p w14:paraId="5B851B68">
      <w:pPr>
        <w:pStyle w:val="23"/>
        <w:spacing w:after="40"/>
      </w:pPr>
      <w:r>
        <w:t>Gross profit = Net sales − Cost of goods sold</w:t>
      </w:r>
    </w:p>
    <w:p w14:paraId="0C1B6AAF">
      <w:pPr>
        <w:pStyle w:val="23"/>
        <w:spacing w:after="40"/>
      </w:pPr>
      <w:r>
        <w:t>Gross margin % = Gross profit ÷ Net sales</w:t>
      </w:r>
    </w:p>
    <w:p w14:paraId="37AC3BB3">
      <w:pPr>
        <w:pStyle w:val="23"/>
        <w:spacing w:after="40"/>
      </w:pPr>
      <w:r>
        <w:t>Profit contribution by product, channel and distributor</w:t>
      </w:r>
    </w:p>
    <w:p w14:paraId="00978CF1">
      <w:pPr>
        <w:pStyle w:val="23"/>
        <w:spacing w:after="40"/>
      </w:pPr>
      <w:r>
        <w:t>Return-adjusted gross margin by product</w:t>
      </w:r>
    </w:p>
    <w:p w14:paraId="1782F236">
      <w:r>
        <w:rPr>
          <w:i w:val="0"/>
        </w:rPr>
        <w:t>Use these measures to determine whether high-revenue products are also financially attractive. Until cost data is available, avoid labelling any product or sales team as the most profitable.</w:t>
      </w:r>
    </w:p>
    <w:p w14:paraId="632AFE4E">
      <w:pPr>
        <w:pStyle w:val="2"/>
      </w:pPr>
      <w:r>
        <w:t>Executive Action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AFF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17365D"/>
            <w:vAlign w:val="center"/>
          </w:tcPr>
          <w:p w14:paraId="51A32999">
            <w:pPr>
              <w:spacing w:after="20" w:line="240" w:lineRule="auto"/>
            </w:pPr>
            <w:r>
              <w:rPr>
                <w:rFonts w:ascii="Aptos" w:hAnsi="Aptos"/>
                <w:b/>
                <w:color w:val="FFFFFF"/>
                <w:sz w:val="18"/>
              </w:rPr>
              <w:t>Priority</w:t>
            </w:r>
          </w:p>
        </w:tc>
        <w:tc>
          <w:tcPr>
            <w:tcW w:w="3360" w:type="dxa"/>
            <w:shd w:val="clear" w:color="auto" w:fill="17365D"/>
            <w:vAlign w:val="center"/>
          </w:tcPr>
          <w:p w14:paraId="4FF4AC39">
            <w:pPr>
              <w:spacing w:after="20" w:line="240" w:lineRule="auto"/>
            </w:pPr>
            <w:r>
              <w:rPr>
                <w:rFonts w:ascii="Aptos" w:hAnsi="Aptos"/>
                <w:b/>
                <w:color w:val="FFFFFF"/>
                <w:sz w:val="18"/>
              </w:rPr>
              <w:t>Action</w:t>
            </w:r>
          </w:p>
        </w:tc>
        <w:tc>
          <w:tcPr>
            <w:tcW w:w="3360" w:type="dxa"/>
            <w:shd w:val="clear" w:color="auto" w:fill="17365D"/>
            <w:vAlign w:val="center"/>
          </w:tcPr>
          <w:p w14:paraId="08555CA7">
            <w:pPr>
              <w:spacing w:after="20" w:line="240" w:lineRule="auto"/>
            </w:pPr>
            <w:r>
              <w:rPr>
                <w:rFonts w:ascii="Aptos" w:hAnsi="Aptos"/>
                <w:b/>
                <w:color w:val="FFFFFF"/>
                <w:sz w:val="18"/>
              </w:rPr>
              <w:t>Initial KPI</w:t>
            </w:r>
          </w:p>
        </w:tc>
      </w:tr>
      <w:tr w14:paraId="0337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vAlign w:val="center"/>
          </w:tcPr>
          <w:p w14:paraId="2B5C37AC">
            <w:pPr>
              <w:spacing w:after="20" w:line="240" w:lineRule="auto"/>
            </w:pPr>
            <w:r>
              <w:rPr>
                <w:rFonts w:ascii="Aptos" w:hAnsi="Aptos"/>
                <w:b w:val="0"/>
                <w:sz w:val="17"/>
              </w:rPr>
              <w:t>1 — Immediate</w:t>
            </w:r>
          </w:p>
        </w:tc>
        <w:tc>
          <w:tcPr>
            <w:tcW w:w="3360" w:type="dxa"/>
            <w:vAlign w:val="center"/>
          </w:tcPr>
          <w:p w14:paraId="5B9DA02E">
            <w:pPr>
              <w:spacing w:after="20" w:line="240" w:lineRule="auto"/>
            </w:pPr>
            <w:r>
              <w:rPr>
                <w:rFonts w:ascii="Aptos" w:hAnsi="Aptos"/>
                <w:b w:val="0"/>
                <w:sz w:val="17"/>
              </w:rPr>
              <w:t>Investigate Koss returns and Dantolac Pazocor return pattern</w:t>
            </w:r>
          </w:p>
        </w:tc>
        <w:tc>
          <w:tcPr>
            <w:tcW w:w="3360" w:type="dxa"/>
            <w:vAlign w:val="center"/>
          </w:tcPr>
          <w:p w14:paraId="134A3E28">
            <w:pPr>
              <w:spacing w:after="20" w:line="240" w:lineRule="auto"/>
            </w:pPr>
            <w:r>
              <w:rPr>
                <w:rFonts w:ascii="Aptos" w:hAnsi="Aptos"/>
                <w:b w:val="0"/>
                <w:sz w:val="17"/>
              </w:rPr>
              <w:t>Koss return rate; Dantolac return rate</w:t>
            </w:r>
          </w:p>
        </w:tc>
      </w:tr>
      <w:tr w14:paraId="11119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F2F6FA"/>
            <w:vAlign w:val="center"/>
          </w:tcPr>
          <w:p w14:paraId="31CAD0D3">
            <w:pPr>
              <w:spacing w:after="20" w:line="240" w:lineRule="auto"/>
            </w:pPr>
            <w:r>
              <w:rPr>
                <w:rFonts w:ascii="Aptos" w:hAnsi="Aptos"/>
                <w:b w:val="0"/>
                <w:sz w:val="17"/>
              </w:rPr>
              <w:t>2 — Immediate</w:t>
            </w:r>
          </w:p>
        </w:tc>
        <w:tc>
          <w:tcPr>
            <w:tcW w:w="3360" w:type="dxa"/>
            <w:shd w:val="clear" w:color="auto" w:fill="F2F6FA"/>
            <w:vAlign w:val="center"/>
          </w:tcPr>
          <w:p w14:paraId="4B40E4A8">
            <w:pPr>
              <w:spacing w:after="20" w:line="240" w:lineRule="auto"/>
            </w:pPr>
            <w:r>
              <w:rPr>
                <w:rFonts w:ascii="Aptos" w:hAnsi="Aptos"/>
                <w:b w:val="0"/>
                <w:sz w:val="17"/>
              </w:rPr>
              <w:t>Review the four products with the largest 2019–2020 sales declines</w:t>
            </w:r>
          </w:p>
        </w:tc>
        <w:tc>
          <w:tcPr>
            <w:tcW w:w="3360" w:type="dxa"/>
            <w:shd w:val="clear" w:color="auto" w:fill="F2F6FA"/>
            <w:vAlign w:val="center"/>
          </w:tcPr>
          <w:p w14:paraId="1261853C">
            <w:pPr>
              <w:spacing w:after="20" w:line="240" w:lineRule="auto"/>
            </w:pPr>
            <w:r>
              <w:rPr>
                <w:rFonts w:ascii="Aptos" w:hAnsi="Aptos"/>
                <w:b w:val="0"/>
                <w:sz w:val="17"/>
              </w:rPr>
              <w:t>Monthly net sales and units by product</w:t>
            </w:r>
          </w:p>
        </w:tc>
      </w:tr>
      <w:tr w14:paraId="43B6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vAlign w:val="center"/>
          </w:tcPr>
          <w:p w14:paraId="6775ED00">
            <w:pPr>
              <w:spacing w:after="20" w:line="240" w:lineRule="auto"/>
            </w:pPr>
            <w:r>
              <w:rPr>
                <w:rFonts w:ascii="Aptos" w:hAnsi="Aptos"/>
                <w:b w:val="0"/>
                <w:sz w:val="17"/>
              </w:rPr>
              <w:t>3 — Within 30 days</w:t>
            </w:r>
          </w:p>
        </w:tc>
        <w:tc>
          <w:tcPr>
            <w:tcW w:w="3360" w:type="dxa"/>
            <w:vAlign w:val="center"/>
          </w:tcPr>
          <w:p w14:paraId="239F4029">
            <w:pPr>
              <w:spacing w:after="20" w:line="240" w:lineRule="auto"/>
            </w:pPr>
            <w:r>
              <w:rPr>
                <w:rFonts w:ascii="Aptos" w:hAnsi="Aptos"/>
                <w:b w:val="0"/>
                <w:sz w:val="17"/>
              </w:rPr>
              <w:t>Review Alfa and highest-return sales representatives</w:t>
            </w:r>
          </w:p>
        </w:tc>
        <w:tc>
          <w:tcPr>
            <w:tcW w:w="3360" w:type="dxa"/>
            <w:vAlign w:val="center"/>
          </w:tcPr>
          <w:p w14:paraId="6690AB49">
            <w:pPr>
              <w:spacing w:after="20" w:line="240" w:lineRule="auto"/>
            </w:pPr>
            <w:r>
              <w:rPr>
                <w:rFonts w:ascii="Aptos" w:hAnsi="Aptos"/>
                <w:b w:val="0"/>
                <w:sz w:val="17"/>
              </w:rPr>
              <w:t>Return rate by team and representative</w:t>
            </w:r>
          </w:p>
        </w:tc>
      </w:tr>
      <w:tr w14:paraId="036F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F2F6FA"/>
            <w:vAlign w:val="center"/>
          </w:tcPr>
          <w:p w14:paraId="71A932CD">
            <w:pPr>
              <w:spacing w:after="20" w:line="240" w:lineRule="auto"/>
            </w:pPr>
            <w:r>
              <w:rPr>
                <w:rFonts w:ascii="Aptos" w:hAnsi="Aptos"/>
                <w:b w:val="0"/>
                <w:sz w:val="17"/>
              </w:rPr>
              <w:t>4 — Within 30 days</w:t>
            </w:r>
          </w:p>
        </w:tc>
        <w:tc>
          <w:tcPr>
            <w:tcW w:w="3360" w:type="dxa"/>
            <w:shd w:val="clear" w:color="auto" w:fill="F2F6FA"/>
            <w:vAlign w:val="center"/>
          </w:tcPr>
          <w:p w14:paraId="7ED82278">
            <w:pPr>
              <w:spacing w:after="20" w:line="240" w:lineRule="auto"/>
            </w:pPr>
            <w:r>
              <w:rPr>
                <w:rFonts w:ascii="Aptos" w:hAnsi="Aptos"/>
                <w:b w:val="0"/>
                <w:sz w:val="17"/>
              </w:rPr>
              <w:t>Validate the 74.21M Ionclotide transaction</w:t>
            </w:r>
          </w:p>
        </w:tc>
        <w:tc>
          <w:tcPr>
            <w:tcW w:w="3360" w:type="dxa"/>
            <w:shd w:val="clear" w:color="auto" w:fill="F2F6FA"/>
            <w:vAlign w:val="center"/>
          </w:tcPr>
          <w:p w14:paraId="5607DB1C">
            <w:pPr>
              <w:spacing w:after="20" w:line="240" w:lineRule="auto"/>
            </w:pPr>
            <w:r>
              <w:rPr>
                <w:rFonts w:ascii="Aptos" w:hAnsi="Aptos"/>
                <w:b w:val="0"/>
                <w:sz w:val="17"/>
              </w:rPr>
              <w:t>Verified bulk transactions and adjustments</w:t>
            </w:r>
          </w:p>
        </w:tc>
      </w:tr>
      <w:tr w14:paraId="5F44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vAlign w:val="center"/>
          </w:tcPr>
          <w:p w14:paraId="3E0EE82B">
            <w:pPr>
              <w:spacing w:after="20" w:line="240" w:lineRule="auto"/>
            </w:pPr>
            <w:r>
              <w:rPr>
                <w:rFonts w:ascii="Aptos" w:hAnsi="Aptos"/>
                <w:b w:val="0"/>
                <w:sz w:val="17"/>
              </w:rPr>
              <w:t>5 — Within 60 days</w:t>
            </w:r>
          </w:p>
        </w:tc>
        <w:tc>
          <w:tcPr>
            <w:tcW w:w="3360" w:type="dxa"/>
            <w:vAlign w:val="center"/>
          </w:tcPr>
          <w:p w14:paraId="37605E0B">
            <w:pPr>
              <w:spacing w:after="20" w:line="240" w:lineRule="auto"/>
            </w:pPr>
            <w:r>
              <w:rPr>
                <w:rFonts w:ascii="Aptos" w:hAnsi="Aptos"/>
                <w:b w:val="0"/>
                <w:sz w:val="17"/>
              </w:rPr>
              <w:t>Establish separate Germany and Poland commercial reviews</w:t>
            </w:r>
          </w:p>
        </w:tc>
        <w:tc>
          <w:tcPr>
            <w:tcW w:w="3360" w:type="dxa"/>
            <w:vAlign w:val="center"/>
          </w:tcPr>
          <w:p w14:paraId="6EA94B98">
            <w:pPr>
              <w:spacing w:after="20" w:line="240" w:lineRule="auto"/>
            </w:pPr>
            <w:r>
              <w:rPr>
                <w:rFonts w:ascii="Aptos" w:hAnsi="Aptos"/>
                <w:b w:val="0"/>
                <w:sz w:val="17"/>
              </w:rPr>
              <w:t>Country sales, active customers and return rate</w:t>
            </w:r>
          </w:p>
        </w:tc>
      </w:tr>
      <w:tr w14:paraId="0159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F2F6FA"/>
            <w:vAlign w:val="center"/>
          </w:tcPr>
          <w:p w14:paraId="6EFE4594">
            <w:pPr>
              <w:spacing w:after="20" w:line="240" w:lineRule="auto"/>
            </w:pPr>
            <w:r>
              <w:rPr>
                <w:rFonts w:ascii="Aptos" w:hAnsi="Aptos"/>
                <w:b w:val="0"/>
                <w:sz w:val="17"/>
              </w:rPr>
              <w:t>6 — Within 90 days</w:t>
            </w:r>
          </w:p>
        </w:tc>
        <w:tc>
          <w:tcPr>
            <w:tcW w:w="3360" w:type="dxa"/>
            <w:shd w:val="clear" w:color="auto" w:fill="F2F6FA"/>
            <w:vAlign w:val="center"/>
          </w:tcPr>
          <w:p w14:paraId="5CA8D23C">
            <w:pPr>
              <w:spacing w:after="20" w:line="240" w:lineRule="auto"/>
            </w:pPr>
            <w:r>
              <w:rPr>
                <w:rFonts w:ascii="Aptos" w:hAnsi="Aptos"/>
                <w:b w:val="0"/>
                <w:sz w:val="17"/>
              </w:rPr>
              <w:t>Add cost data to enable profitability analysis</w:t>
            </w:r>
          </w:p>
        </w:tc>
        <w:tc>
          <w:tcPr>
            <w:tcW w:w="3360" w:type="dxa"/>
            <w:shd w:val="clear" w:color="auto" w:fill="F2F6FA"/>
            <w:vAlign w:val="center"/>
          </w:tcPr>
          <w:p w14:paraId="3A9143A6">
            <w:pPr>
              <w:spacing w:after="20" w:line="240" w:lineRule="auto"/>
            </w:pPr>
            <w:r>
              <w:rPr>
                <w:rFonts w:ascii="Aptos" w:hAnsi="Aptos"/>
                <w:b w:val="0"/>
                <w:sz w:val="17"/>
              </w:rPr>
              <w:t>Gross profit and gross margin by product</w:t>
            </w:r>
          </w:p>
        </w:tc>
      </w:tr>
    </w:tbl>
    <w:p w14:paraId="52AD18F2"/>
    <w:p w14:paraId="75F4F60A">
      <w:r>
        <w:rPr>
          <w:i w:val="0"/>
        </w:rPr>
        <w:t>The time frames above are proposed implementation deadlines, not historical events.</w:t>
      </w:r>
    </w:p>
    <w:p w14:paraId="507E6974">
      <w:pPr>
        <w:pStyle w:val="2"/>
      </w:pPr>
      <w:r>
        <w:t>Conclusion</w:t>
      </w:r>
    </w:p>
    <w:p w14:paraId="29A119E0">
      <w:r>
        <w:rPr>
          <w:i w:val="0"/>
        </w:rPr>
        <w:t>The analysis of 254,078 pharmaceutical sales records identifies three immediate priorities: the sustained decline in annual net sales after 2018, the sharp increase in returns by 2020, and the concentration of returns within distributor Koss and specific products such as Dantolac Pazocor. The product-level comparison also identifies Ionclotide, Antaparin Varizyme, Amavirase and Pentastrin as major contributors to the 2019–2020 revenue decline.</w:t>
      </w:r>
    </w:p>
    <w:p w14:paraId="463F8FF5">
      <w:r>
        <w:rPr>
          <w:i w:val="0"/>
        </w:rPr>
        <w:t>The recommended response is to establish a product recovery programme, investigate high-return products and distributors, and incorporate return rates into sales-team performance reviews. Market development should protect Germany’s dominant contribution while assessing Poland’s growth potential using customer, product and market evidence. Finally, integrating product cost data will allow the organization to progress from revenue reporting to true profitability analysis.</w:t>
      </w:r>
    </w:p>
    <w:p w14:paraId="5AE89D54">
      <w:r>
        <w:rPr>
          <w:i w:val="0"/>
        </w:rPr>
        <w:t>Together, these actions make the Power BI dashboard a practical commercial decision-support tool: it identifies where sales have weakened, where value is being lost through returns, which business relationships require attention, and which additional data is needed for stronger financial decisions.</w:t>
      </w: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A75DA">
    <w:pPr>
      <w:pStyle w:val="18"/>
      <w:jc w:val="center"/>
    </w:pPr>
    <w:r>
      <w:rPr>
        <w:color w:val="646464"/>
        <w:sz w:val="16"/>
      </w:rPr>
      <w:t xml:space="preserve">Pharmaceutical Sales Performance Analysis  |  Executive Portfolio Report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FF49F7"/>
    <w:rsid w:val="3C17ED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kay</cp:lastModifiedBy>
  <dcterms:modified xsi:type="dcterms:W3CDTF">2026-10-17T13:38:51Z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AA1D10A22DAC6840107AD36AEDC9B740_42</vt:lpwstr>
  </property>
</Properties>
</file>