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PIZZA SALES</w:t>
      </w:r>
    </w:p>
    <w:p>
      <w:pPr>
        <w:pStyle w:val="Title"/>
        <w:jc w:val="center"/>
      </w:pPr>
      <w:r>
        <w:t>Executive Insights &amp; Recommendations</w:t>
      </w:r>
    </w:p>
    <w:p>
      <w:pPr>
        <w:jc w:val="center"/>
      </w:pPr>
      <w:r>
        <w:rPr>
          <w:i/>
          <w:sz w:val="22"/>
        </w:rPr>
        <w:t>Portfolio Analysis | January–December 2015</w:t>
      </w:r>
    </w:p>
    <w:p/>
    <w:p>
      <w:pPr>
        <w:spacing w:after="80"/>
      </w:pPr>
      <w:r>
        <w:t>Purpose: translate the cleaned pizza sales dataset into business findings and practical actions for management. The analysis covers sales value, order behavior, product mix, pizza size, category, seasonality, and time-of-day demand.</w:t>
      </w:r>
    </w:p>
    <w:p>
      <w:pPr>
        <w:spacing w:after="160"/>
      </w:pPr>
      <w:r>
        <w:rPr>
          <w:i/>
          <w:sz w:val="18"/>
        </w:rPr>
        <w:t>This executive brief highlights the most important sales patterns and operational decisions. Use the interactive Power BI dashboard to explore detailed pizza, category, size, month, weekday, and hourly breakdowns.</w:t>
      </w:r>
    </w:p>
    <w:p>
      <w:pPr>
        <w:spacing w:after="80"/>
      </w:pPr>
      <w:r>
        <w:t>Dataset scope: 48,620 pizza line items, 21,350 unique orders, and 49,574 pizzas sold across 365 days in 2015. The dataset has no explicit currency field, food-cost data, discount details, delivery times, customer identifiers, or waste data. Values are therefore presented as recorded monetary units; profitability cannot be inferred from sales alone.</w:t>
      </w:r>
    </w:p>
    <w:p>
      <w:pPr>
        <w:pStyle w:val="Heading1"/>
      </w:pPr>
      <w:r>
        <w:t>1. Executive Summary</w:t>
      </w:r>
    </w:p>
    <w:p>
      <w:pPr>
        <w:spacing w:after="20"/>
      </w:pPr>
    </w:p>
    <w:p>
      <w:pPr>
        <w:pStyle w:val="ListBullet"/>
        <w:spacing w:after="40"/>
      </w:pPr>
      <w:r>
        <w:t>Demand is concentrated in key trading periods: Friday accounts for 16.64% of revenue, and 12:00–13:59 together account for 26.65% of revenue.</w:t>
      </w:r>
    </w:p>
    <w:p>
      <w:pPr>
        <w:pStyle w:val="ListBullet"/>
        <w:spacing w:after="40"/>
      </w:pPr>
      <w:r>
        <w:t>The three highest-revenue pizzas are Thai Chicken (43,434.25), Barbecue Chicken (42,768.00), and California Chicken (41,409.50). Together, the top three contribute 15.60% of sales.</w:t>
      </w:r>
    </w:p>
    <w:p>
      <w:pPr>
        <w:pStyle w:val="ListBullet"/>
        <w:spacing w:after="40"/>
      </w:pPr>
      <w:r>
        <w:t>The dataset shows revenue and quantity, not costs or margins. Do not label any pizza as the most profitable until ingredient, labor, packaging, and delivery costs are available.</w:t>
      </w:r>
    </w:p>
    <w:p>
      <w:pPr>
        <w:pStyle w:val="Heading1"/>
      </w:pPr>
      <w:r>
        <w:t>2. Overall Performance &amp; Order Economics</w:t>
      </w:r>
    </w:p>
    <w:p>
      <w:pPr>
        <w:spacing w:after="80"/>
      </w:pPr>
      <w:r>
        <w:t>The dataset records 817,860.05 in sales from 21,350 orders and 49,574 pizzas. Average order value is 38.31, while the average order contains 2.32 pizzas. These measures provide a baseline for evaluating bundles, add-ons, and order-value initiatives.</w:t>
      </w:r>
    </w:p>
    <w:p>
      <w:pPr>
        <w:spacing w:after="20"/>
      </w:pPr>
    </w:p>
    <w:p>
      <w:pPr>
        <w:pStyle w:val="Heading1"/>
      </w:pPr>
      <w:r>
        <w:t>3. Monthly Performance: Seasonality</w:t>
      </w:r>
    </w:p>
    <w:p>
      <w:pPr>
        <w:spacing w:after="20"/>
      </w:pPr>
    </w:p>
    <w:p>
      <w:pPr>
        <w:spacing w:after="80"/>
      </w:pPr>
      <w:r>
        <w:t>July was the strongest month at 72,557.90, while October was the weakest at 64,027.60. July exceeded October by 8,530.30 (13.3%). This is a modest seasonal spread rather than a single-month dependency; every month contributes roughly 7.8%–8.9% of annual sales.</w:t>
      </w:r>
    </w:p>
    <w:p>
      <w:pPr>
        <w:pStyle w:val="ListBullet"/>
        <w:spacing w:after="40"/>
      </w:pPr>
      <w:r>
        <w:t>Action: compare campaign calendar, local events, opening hours, staffing, and product availability in July versus September–October to identify repeatable drivers.</w:t>
      </w:r>
    </w:p>
    <w:p>
      <w:pPr>
        <w:pStyle w:val="ListBullet"/>
        <w:spacing w:after="40"/>
      </w:pPr>
      <w:r>
        <w:t>Action: pilot targeted offers during historically softer months, but evaluate incremental contribution margin—not just revenue uplift.</w:t>
      </w:r>
    </w:p>
    <w:p>
      <w:pPr>
        <w:pStyle w:val="Heading1"/>
      </w:pPr>
      <w:r>
        <w:t>4. Product Performance: Winners and Products to Review</w:t>
      </w:r>
    </w:p>
    <w:p>
      <w:pPr>
        <w:spacing w:after="20"/>
      </w:pPr>
    </w:p>
    <w:p>
      <w:pPr>
        <w:pStyle w:val="Heading2"/>
      </w:pPr>
      <w:r>
        <w:t>Lowest revenue products</w:t>
      </w:r>
    </w:p>
    <w:p>
      <w:pPr>
        <w:spacing w:after="20"/>
      </w:pPr>
    </w:p>
    <w:p>
      <w:pPr>
        <w:spacing w:after="80"/>
      </w:pPr>
      <w:r>
        <w:t>The Thai Chicken Pizza leads revenue at 43,434.25. The Classic Deluxe Pizza has the highest unit count (2,453 units), showing that the revenue leader and volume leader are not necessarily the same product. The Brie Carre Pizza is the lowest-revenue item at 11,588.50 and has 490 units recorded, materially below most other pizzas.</w:t>
      </w:r>
    </w:p>
    <w:p>
      <w:pPr>
        <w:pStyle w:val="ListBullet"/>
        <w:spacing w:after="40"/>
      </w:pPr>
      <w:r>
        <w:t>The top 5 pizzas generate 24.53% of total sales; the top 10 generate 44.54%. Sales are spread across the menu rather than dominated by only one or two items.</w:t>
      </w:r>
    </w:p>
    <w:p>
      <w:pPr>
        <w:pStyle w:val="ListBullet"/>
        <w:spacing w:after="40"/>
      </w:pPr>
      <w:r>
        <w:t>Action: protect availability and consistent quality for Thai Chicken, Barbecue Chicken, California Chicken, and Classic Deluxe. Track stock-outs and item-level contribution margin.</w:t>
      </w:r>
    </w:p>
    <w:p>
      <w:pPr>
        <w:pStyle w:val="ListBullet"/>
        <w:spacing w:after="40"/>
      </w:pPr>
      <w:r>
        <w:t>Action: review low-revenue items such as Brie Carre using ingredient cost, prep complexity, waste, and customer feedback before deciding to reprice, promote, redesign, or remove them. Low sales alone are not enough to discontinue a product.</w:t>
      </w:r>
    </w:p>
    <w:p>
      <w:pPr>
        <w:pStyle w:val="Heading1"/>
      </w:pPr>
      <w:r>
        <w:t>5. Category Mix</w:t>
      </w:r>
    </w:p>
    <w:p>
      <w:pPr>
        <w:spacing w:after="20"/>
      </w:pPr>
    </w:p>
    <w:p>
      <w:pPr>
        <w:spacing w:after="80"/>
      </w:pPr>
      <w:r>
        <w:t>Classic is the largest category at 220,053.10 (26.91%), followed by Supreme at 208,197.00. Chicken and Veggie are also substantial, each contributing around one quarter of revenue. No category overwhelmingly dominates.</w:t>
      </w:r>
    </w:p>
    <w:p>
      <w:pPr>
        <w:pStyle w:val="ListBullet"/>
        <w:spacing w:after="40"/>
      </w:pPr>
      <w:r>
        <w:t>Action: keep a balanced category assortment and use category-level promotions to test incremental demand.</w:t>
      </w:r>
    </w:p>
    <w:p>
      <w:pPr>
        <w:pStyle w:val="ListBullet"/>
        <w:spacing w:after="40"/>
      </w:pPr>
      <w:r>
        <w:t>Action: compare category margins and ingredient waste before shifting menu space or promotional spend.</w:t>
      </w:r>
    </w:p>
    <w:p>
      <w:pPr>
        <w:pStyle w:val="Heading1"/>
      </w:pPr>
      <w:r>
        <w:t>6. Size Mix</w:t>
      </w:r>
    </w:p>
    <w:p>
      <w:pPr>
        <w:spacing w:after="20"/>
      </w:pPr>
    </w:p>
    <w:p>
      <w:pPr>
        <w:spacing w:after="80"/>
      </w:pPr>
      <w:r>
        <w:t>Large pizzas generate 375,318.70, or 45.89% of sales. Medium pizzas contribute 30.49%; small pizzas contribute 21.77%. XL and XXL together account for only 1.84% of recorded sales.</w:t>
      </w:r>
    </w:p>
    <w:p>
      <w:pPr>
        <w:pStyle w:val="ListBullet"/>
        <w:spacing w:after="40"/>
      </w:pPr>
      <w:r>
        <w:t>Action: test clearly priced size upgrades or family bundles, measuring average order value and contribution margin against the {money(aov)} baseline.</w:t>
      </w:r>
    </w:p>
    <w:p>
      <w:pPr>
        <w:pStyle w:val="ListBullet"/>
        <w:spacing w:after="40"/>
      </w:pPr>
      <w:r>
        <w:t>Data check: XL and XXL volumes are very small (552 and 28 units respectively). Confirm whether these sizes were genuinely offered throughout the year or represent limited availability / data-entry exceptions.</w:t>
      </w:r>
    </w:p>
    <w:p>
      <w:pPr>
        <w:pStyle w:val="Heading1"/>
      </w:pPr>
      <w:r>
        <w:t>7. Day-of-Week Demand</w:t>
      </w:r>
    </w:p>
    <w:p>
      <w:pPr>
        <w:spacing w:after="20"/>
      </w:pPr>
    </w:p>
    <w:p>
      <w:pPr>
        <w:spacing w:after="80"/>
      </w:pPr>
      <w:r>
        <w:t>Friday is the strongest day at 136,073.90 (16.64% of annual sales). Sunday is lowest at 99,203.50. Friday sales are 37.2% higher than Sunday.</w:t>
      </w:r>
    </w:p>
    <w:p>
      <w:pPr>
        <w:pStyle w:val="ListBullet"/>
        <w:spacing w:after="40"/>
      </w:pPr>
      <w:r>
        <w:t>Action: schedule sufficient kitchen, counter, and delivery capacity for Thursday–Saturday, especially Friday.</w:t>
      </w:r>
    </w:p>
    <w:p>
      <w:pPr>
        <w:pStyle w:val="ListBullet"/>
        <w:spacing w:after="40"/>
      </w:pPr>
      <w:r>
        <w:t>Action: test a Sunday-specific family offer or early-evening promotion, then compare order count, average order value, and margin with a baseline period.</w:t>
      </w:r>
    </w:p>
    <w:p>
      <w:pPr>
        <w:pStyle w:val="Heading1"/>
      </w:pPr>
      <w:r>
        <w:t>8. Time-of-Day Demand</w:t>
      </w:r>
    </w:p>
    <w:p>
      <w:pPr>
        <w:spacing w:after="20"/>
      </w:pPr>
    </w:p>
    <w:p>
      <w:pPr>
        <w:spacing w:after="80"/>
      </w:pPr>
      <w:r>
        <w:t>The strongest hour is 12:00, with 111,877.90 in sales. The noon-to-1:59 p.m. period generates 217,943.60 (26.65% of annual sales). The 5–7 p.m. period (17:00–19:59) contributes 248,163.20 (30.34%). Recorded sales at 23:00 are minimal, and the dataset contains very few orders before 11:00.</w:t>
      </w:r>
    </w:p>
    <w:p>
      <w:pPr>
        <w:pStyle w:val="ListBullet"/>
        <w:spacing w:after="40"/>
      </w:pPr>
      <w:r>
        <w:t>Action: align lunch and dinner staffing, dough preparation, oven capacity, and delivery coverage with these peaks.</w:t>
      </w:r>
    </w:p>
    <w:p>
      <w:pPr>
        <w:pStyle w:val="ListBullet"/>
        <w:spacing w:after="40"/>
      </w:pPr>
      <w:r>
        <w:t>Action: review the business case for late-night or early-morning opening hours before allocating labor; first confirm whether recorded hours reflect actual opening hours.</w:t>
      </w:r>
    </w:p>
    <w:p>
      <w:pPr>
        <w:pStyle w:val="Heading1"/>
      </w:pPr>
      <w:r>
        <w:t>9. Operational and Data Quality Considerations</w:t>
      </w:r>
    </w:p>
    <w:p>
      <w:pPr>
        <w:pStyle w:val="ListBullet"/>
        <w:spacing w:after="40"/>
      </w:pPr>
      <w:r>
        <w:t>No missing values or exact duplicate rows were found in the supplied cleaned CSV.</w:t>
      </w:r>
    </w:p>
    <w:p>
      <w:pPr>
        <w:pStyle w:val="ListBullet"/>
        <w:spacing w:after="40"/>
      </w:pPr>
      <w:r>
        <w:t>The dataset contains 48,620 line items and 21,350 unique orders; multiple rows can belong to one order, so row count should not be presented as order count.</w:t>
      </w:r>
    </w:p>
    <w:p>
      <w:pPr>
        <w:pStyle w:val="ListBullet"/>
        <w:spacing w:after="40"/>
      </w:pPr>
      <w:r>
        <w:t>There are no cost, margin, discount, refund, cancellation, delivery-time, customer, or waste fields. The current file cannot support profitability, customer retention, delivery performance, or food-waste conclusions.</w:t>
      </w:r>
    </w:p>
    <w:p>
      <w:pPr>
        <w:pStyle w:val="ListBullet"/>
        <w:spacing w:after="40"/>
      </w:pPr>
      <w:r>
        <w:t>No currency code is supplied. Confirm the business currency before adding a currency symbol to dashboard labels.</w:t>
      </w:r>
    </w:p>
    <w:p>
      <w:pPr>
        <w:pStyle w:val="ListBullet"/>
        <w:spacing w:after="40"/>
      </w:pPr>
      <w:r>
        <w:t>Very small XL/XXL volumes and the near-absence of orders before 11:00 or after 22:00 warrant validation against the menu and operating-hours policy.</w:t>
      </w:r>
    </w:p>
    <w:p>
      <w:pPr>
        <w:pStyle w:val="Heading1"/>
      </w:pPr>
      <w:r>
        <w:t>10. Executive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rFonts w:ascii="Aptos" w:hAnsi="Aptos"/>
                <w:b/>
                <w:color w:val="FFFFFF"/>
                <w:sz w:val="17"/>
              </w:rPr>
              <w:t>Priority</w:t>
            </w:r>
          </w:p>
        </w:tc>
        <w:tc>
          <w:tcPr>
            <w:tcW w:type="dxa" w:w="3360"/>
            <w:vAlign w:val="center"/>
            <w:shd w:fill="1F4E79"/>
          </w:tcPr>
          <w:p>
            <w:pPr>
              <w:spacing w:after="0"/>
            </w:pPr>
            <w:r/>
            <w:r>
              <w:rPr>
                <w:rFonts w:ascii="Aptos" w:hAnsi="Aptos"/>
                <w:b/>
                <w:color w:val="FFFFFF"/>
                <w:sz w:val="17"/>
              </w:rPr>
              <w:t>Recommendation</w:t>
            </w:r>
          </w:p>
        </w:tc>
        <w:tc>
          <w:tcPr>
            <w:tcW w:type="dxa" w:w="3360"/>
            <w:vAlign w:val="center"/>
            <w:shd w:fill="1F4E79"/>
          </w:tcPr>
          <w:p>
            <w:pPr>
              <w:spacing w:after="0"/>
            </w:pPr>
            <w:r/>
            <w:r>
              <w:rPr>
                <w:rFonts w:ascii="Aptos" w:hAnsi="Aptos"/>
                <w:b/>
                <w:color w:val="FFFFFF"/>
                <w:sz w:val="17"/>
              </w:rPr>
              <w:t>Measure of success</w:t>
            </w:r>
          </w:p>
        </w:tc>
      </w:tr>
      <w:tr>
        <w:tc>
          <w:tcPr>
            <w:tcW w:type="dxa" w:w="3360"/>
            <w:vAlign w:val="center"/>
          </w:tcPr>
          <w:p>
            <w:pPr>
              <w:spacing w:after="0"/>
            </w:pPr>
            <w:r/>
            <w:r>
              <w:rPr>
                <w:rFonts w:ascii="Aptos" w:hAnsi="Aptos"/>
                <w:b w:val="0"/>
                <w:sz w:val="16"/>
              </w:rPr>
              <w:t>1 — Immediate</w:t>
            </w:r>
          </w:p>
        </w:tc>
        <w:tc>
          <w:tcPr>
            <w:tcW w:type="dxa" w:w="3360"/>
            <w:vAlign w:val="center"/>
          </w:tcPr>
          <w:p>
            <w:pPr>
              <w:spacing w:after="0"/>
            </w:pPr>
            <w:r/>
            <w:r>
              <w:rPr>
                <w:rFonts w:ascii="Aptos" w:hAnsi="Aptos"/>
                <w:b w:val="0"/>
                <w:sz w:val="16"/>
              </w:rPr>
              <w:t>Plan labor and kitchen capacity around Friday and lunch peaks; validate staffing and wait-time data.</w:t>
            </w:r>
          </w:p>
        </w:tc>
        <w:tc>
          <w:tcPr>
            <w:tcW w:type="dxa" w:w="3360"/>
            <w:vAlign w:val="center"/>
          </w:tcPr>
          <w:p>
            <w:pPr>
              <w:spacing w:after="0"/>
            </w:pPr>
            <w:r/>
            <w:r>
              <w:rPr>
                <w:rFonts w:ascii="Aptos" w:hAnsi="Aptos"/>
                <w:b w:val="0"/>
                <w:sz w:val="16"/>
              </w:rPr>
              <w:t>Order fulfillment time, missed orders, overtime, and customer complaints by hour/day</w:t>
            </w:r>
          </w:p>
        </w:tc>
      </w:tr>
      <w:tr>
        <w:tc>
          <w:tcPr>
            <w:tcW w:type="dxa" w:w="3360"/>
            <w:vAlign w:val="center"/>
            <w:shd w:fill="EAF1F8"/>
          </w:tcPr>
          <w:p>
            <w:pPr>
              <w:spacing w:after="0"/>
            </w:pPr>
            <w:r/>
            <w:r>
              <w:rPr>
                <w:rFonts w:ascii="Aptos" w:hAnsi="Aptos"/>
                <w:b w:val="0"/>
                <w:sz w:val="16"/>
              </w:rPr>
              <w:t>2 — Immediate</w:t>
            </w:r>
          </w:p>
        </w:tc>
        <w:tc>
          <w:tcPr>
            <w:tcW w:type="dxa" w:w="3360"/>
            <w:vAlign w:val="center"/>
            <w:shd w:fill="EAF1F8"/>
          </w:tcPr>
          <w:p>
            <w:pPr>
              <w:spacing w:after="0"/>
            </w:pPr>
            <w:r/>
            <w:r>
              <w:rPr>
                <w:rFonts w:ascii="Aptos" w:hAnsi="Aptos"/>
                <w:b w:val="0"/>
                <w:sz w:val="16"/>
              </w:rPr>
              <w:t>Protect top sellers: Thai Chicken, Barbecue Chicken, California Chicken, and Classic Deluxe.</w:t>
            </w:r>
          </w:p>
        </w:tc>
        <w:tc>
          <w:tcPr>
            <w:tcW w:type="dxa" w:w="3360"/>
            <w:vAlign w:val="center"/>
            <w:shd w:fill="EAF1F8"/>
          </w:tcPr>
          <w:p>
            <w:pPr>
              <w:spacing w:after="0"/>
            </w:pPr>
            <w:r/>
            <w:r>
              <w:rPr>
                <w:rFonts w:ascii="Aptos" w:hAnsi="Aptos"/>
                <w:b w:val="0"/>
                <w:sz w:val="16"/>
              </w:rPr>
              <w:t>Availability, item sales, stock-outs, and contribution margin</w:t>
            </w:r>
          </w:p>
        </w:tc>
      </w:tr>
      <w:tr>
        <w:tc>
          <w:tcPr>
            <w:tcW w:type="dxa" w:w="3360"/>
            <w:vAlign w:val="center"/>
          </w:tcPr>
          <w:p>
            <w:pPr>
              <w:spacing w:after="0"/>
            </w:pPr>
            <w:r/>
            <w:r>
              <w:rPr>
                <w:rFonts w:ascii="Aptos" w:hAnsi="Aptos"/>
                <w:b w:val="0"/>
                <w:sz w:val="16"/>
              </w:rPr>
              <w:t>3 — Within 30 days</w:t>
            </w:r>
          </w:p>
        </w:tc>
        <w:tc>
          <w:tcPr>
            <w:tcW w:type="dxa" w:w="3360"/>
            <w:vAlign w:val="center"/>
          </w:tcPr>
          <w:p>
            <w:pPr>
              <w:spacing w:after="0"/>
            </w:pPr>
            <w:r/>
            <w:r>
              <w:rPr>
                <w:rFonts w:ascii="Aptos" w:hAnsi="Aptos"/>
                <w:b w:val="0"/>
                <w:sz w:val="16"/>
              </w:rPr>
              <w:t>Run a Sunday demand pilot and targeted offers in weaker months such as October.</w:t>
            </w:r>
          </w:p>
        </w:tc>
        <w:tc>
          <w:tcPr>
            <w:tcW w:type="dxa" w:w="3360"/>
            <w:vAlign w:val="center"/>
          </w:tcPr>
          <w:p>
            <w:pPr>
              <w:spacing w:after="0"/>
            </w:pPr>
            <w:r/>
            <w:r>
              <w:rPr>
                <w:rFonts w:ascii="Aptos" w:hAnsi="Aptos"/>
                <w:b w:val="0"/>
                <w:sz w:val="16"/>
              </w:rPr>
              <w:t>Incremental orders and contribution margin versus a comparable baseline</w:t>
            </w:r>
          </w:p>
        </w:tc>
      </w:tr>
      <w:tr>
        <w:tc>
          <w:tcPr>
            <w:tcW w:type="dxa" w:w="3360"/>
            <w:vAlign w:val="center"/>
            <w:shd w:fill="EAF1F8"/>
          </w:tcPr>
          <w:p>
            <w:pPr>
              <w:spacing w:after="0"/>
            </w:pPr>
            <w:r/>
            <w:r>
              <w:rPr>
                <w:rFonts w:ascii="Aptos" w:hAnsi="Aptos"/>
                <w:b w:val="0"/>
                <w:sz w:val="16"/>
              </w:rPr>
              <w:t>4 — Within 30 days</w:t>
            </w:r>
          </w:p>
        </w:tc>
        <w:tc>
          <w:tcPr>
            <w:tcW w:type="dxa" w:w="3360"/>
            <w:vAlign w:val="center"/>
            <w:shd w:fill="EAF1F8"/>
          </w:tcPr>
          <w:p>
            <w:pPr>
              <w:spacing w:after="0"/>
            </w:pPr>
            <w:r/>
            <w:r>
              <w:rPr>
                <w:rFonts w:ascii="Aptos" w:hAnsi="Aptos"/>
                <w:b w:val="0"/>
                <w:sz w:val="16"/>
              </w:rPr>
              <w:t>Test large-size upgrades and bundle offers without discounting indiscriminately.</w:t>
            </w:r>
          </w:p>
        </w:tc>
        <w:tc>
          <w:tcPr>
            <w:tcW w:type="dxa" w:w="3360"/>
            <w:vAlign w:val="center"/>
            <w:shd w:fill="EAF1F8"/>
          </w:tcPr>
          <w:p>
            <w:pPr>
              <w:spacing w:after="0"/>
            </w:pPr>
            <w:r/>
            <w:r>
              <w:rPr>
                <w:rFonts w:ascii="Aptos" w:hAnsi="Aptos"/>
                <w:b w:val="0"/>
                <w:sz w:val="16"/>
              </w:rPr>
              <w:t>Average order value, units/order, and contribution margin</w:t>
            </w:r>
          </w:p>
        </w:tc>
      </w:tr>
      <w:tr>
        <w:tc>
          <w:tcPr>
            <w:tcW w:type="dxa" w:w="3360"/>
            <w:vAlign w:val="center"/>
          </w:tcPr>
          <w:p>
            <w:pPr>
              <w:spacing w:after="0"/>
            </w:pPr>
            <w:r/>
            <w:r>
              <w:rPr>
                <w:rFonts w:ascii="Aptos" w:hAnsi="Aptos"/>
                <w:b w:val="0"/>
                <w:sz w:val="16"/>
              </w:rPr>
              <w:t>5 — Within 30 days</w:t>
            </w:r>
          </w:p>
        </w:tc>
        <w:tc>
          <w:tcPr>
            <w:tcW w:type="dxa" w:w="3360"/>
            <w:vAlign w:val="center"/>
          </w:tcPr>
          <w:p>
            <w:pPr>
              <w:spacing w:after="0"/>
            </w:pPr>
            <w:r/>
            <w:r>
              <w:rPr>
                <w:rFonts w:ascii="Aptos" w:hAnsi="Aptos"/>
                <w:b w:val="0"/>
                <w:sz w:val="16"/>
              </w:rPr>
              <w:t>Review Brie Carre and other lower-revenue items using cost, waste, prep time, and customer feedback.</w:t>
            </w:r>
          </w:p>
        </w:tc>
        <w:tc>
          <w:tcPr>
            <w:tcW w:type="dxa" w:w="3360"/>
            <w:vAlign w:val="center"/>
          </w:tcPr>
          <w:p>
            <w:pPr>
              <w:spacing w:after="0"/>
            </w:pPr>
            <w:r/>
            <w:r>
              <w:rPr>
                <w:rFonts w:ascii="Aptos" w:hAnsi="Aptos"/>
                <w:b w:val="0"/>
                <w:sz w:val="16"/>
              </w:rPr>
              <w:t>Item-level contribution margin and waste rate</w:t>
            </w:r>
          </w:p>
        </w:tc>
      </w:tr>
      <w:tr>
        <w:tc>
          <w:tcPr>
            <w:tcW w:type="dxa" w:w="3360"/>
            <w:vAlign w:val="center"/>
            <w:shd w:fill="EAF1F8"/>
          </w:tcPr>
          <w:p>
            <w:pPr>
              <w:spacing w:after="0"/>
            </w:pPr>
            <w:r/>
            <w:r>
              <w:rPr>
                <w:rFonts w:ascii="Aptos" w:hAnsi="Aptos"/>
                <w:b w:val="0"/>
                <w:sz w:val="16"/>
              </w:rPr>
              <w:t>6 — Within 60 days</w:t>
            </w:r>
          </w:p>
        </w:tc>
        <w:tc>
          <w:tcPr>
            <w:tcW w:type="dxa" w:w="3360"/>
            <w:vAlign w:val="center"/>
            <w:shd w:fill="EAF1F8"/>
          </w:tcPr>
          <w:p>
            <w:pPr>
              <w:spacing w:after="0"/>
            </w:pPr>
            <w:r/>
            <w:r>
              <w:rPr>
                <w:rFonts w:ascii="Aptos" w:hAnsi="Aptos"/>
                <w:b w:val="0"/>
                <w:sz w:val="16"/>
              </w:rPr>
              <w:t>Add food costs, labor, packaging, discounts, delivery fees, and waste to the data model.</w:t>
            </w:r>
          </w:p>
        </w:tc>
        <w:tc>
          <w:tcPr>
            <w:tcW w:type="dxa" w:w="3360"/>
            <w:vAlign w:val="center"/>
            <w:shd w:fill="EAF1F8"/>
          </w:tcPr>
          <w:p>
            <w:pPr>
              <w:spacing w:after="0"/>
            </w:pPr>
            <w:r/>
            <w:r>
              <w:rPr>
                <w:rFonts w:ascii="Aptos" w:hAnsi="Aptos"/>
                <w:b w:val="0"/>
                <w:sz w:val="16"/>
              </w:rPr>
              <w:t>Gross margin and contribution margin by pizza, size, day, and hour</w:t>
            </w:r>
          </w:p>
        </w:tc>
      </w:tr>
      <w:tr>
        <w:tc>
          <w:tcPr>
            <w:tcW w:type="dxa" w:w="3360"/>
            <w:vAlign w:val="center"/>
          </w:tcPr>
          <w:p>
            <w:pPr>
              <w:spacing w:after="0"/>
            </w:pPr>
            <w:r/>
            <w:r>
              <w:rPr>
                <w:rFonts w:ascii="Aptos" w:hAnsi="Aptos"/>
                <w:b w:val="0"/>
                <w:sz w:val="16"/>
              </w:rPr>
              <w:t>7 — Within 60 days</w:t>
            </w:r>
          </w:p>
        </w:tc>
        <w:tc>
          <w:tcPr>
            <w:tcW w:type="dxa" w:w="3360"/>
            <w:vAlign w:val="center"/>
          </w:tcPr>
          <w:p>
            <w:pPr>
              <w:spacing w:after="0"/>
            </w:pPr>
            <w:r/>
            <w:r>
              <w:rPr>
                <w:rFonts w:ascii="Aptos" w:hAnsi="Aptos"/>
                <w:b w:val="0"/>
                <w:sz w:val="16"/>
              </w:rPr>
              <w:t>Validate size availability and operating-hour patterns, especially XL/XXL and low-volume hours.</w:t>
            </w:r>
          </w:p>
        </w:tc>
        <w:tc>
          <w:tcPr>
            <w:tcW w:type="dxa" w:w="3360"/>
            <w:vAlign w:val="center"/>
          </w:tcPr>
          <w:p>
            <w:pPr>
              <w:spacing w:after="0"/>
            </w:pPr>
            <w:r/>
            <w:r>
              <w:rPr>
                <w:rFonts w:ascii="Aptos" w:hAnsi="Aptos"/>
                <w:b w:val="0"/>
                <w:sz w:val="16"/>
              </w:rPr>
              <w:t>Reconciled menu, opening-hours, and POS records</w:t>
            </w:r>
          </w:p>
        </w:tc>
      </w:tr>
    </w:tbl>
    <w:p>
      <w:pPr>
        <w:spacing w:after="20"/>
      </w:pPr>
    </w:p>
    <w:p>
      <w:pPr>
        <w:pStyle w:val="Heading1"/>
      </w:pPr>
      <w:r>
        <w:t>11. Suggested Power BI KPIs and Measures</w:t>
      </w:r>
    </w:p>
    <w:p>
      <w:pPr>
        <w:spacing w:after="20"/>
      </w:pPr>
    </w:p>
    <w:p>
      <w:pPr>
        <w:pStyle w:val="Heading1"/>
      </w:pPr>
      <w:r>
        <w:t>12. Proposed 90-Day Action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rFonts w:ascii="Aptos" w:hAnsi="Aptos"/>
                <w:b/>
                <w:color w:val="FFFFFF"/>
                <w:sz w:val="17"/>
              </w:rPr>
              <w:t>Timing</w:t>
            </w:r>
          </w:p>
        </w:tc>
        <w:tc>
          <w:tcPr>
            <w:tcW w:type="dxa" w:w="3360"/>
            <w:vAlign w:val="center"/>
            <w:shd w:fill="1F4E79"/>
          </w:tcPr>
          <w:p>
            <w:pPr>
              <w:spacing w:after="0"/>
            </w:pPr>
            <w:r/>
            <w:r>
              <w:rPr>
                <w:rFonts w:ascii="Aptos" w:hAnsi="Aptos"/>
                <w:b/>
                <w:color w:val="FFFFFF"/>
                <w:sz w:val="17"/>
              </w:rPr>
              <w:t>Action</w:t>
            </w:r>
          </w:p>
        </w:tc>
        <w:tc>
          <w:tcPr>
            <w:tcW w:type="dxa" w:w="3360"/>
            <w:vAlign w:val="center"/>
            <w:shd w:fill="1F4E79"/>
          </w:tcPr>
          <w:p>
            <w:pPr>
              <w:spacing w:after="0"/>
            </w:pPr>
            <w:r/>
            <w:r>
              <w:rPr>
                <w:rFonts w:ascii="Aptos" w:hAnsi="Aptos"/>
                <w:b/>
                <w:color w:val="FFFFFF"/>
                <w:sz w:val="17"/>
              </w:rPr>
              <w:t>Owner suggestion</w:t>
            </w:r>
          </w:p>
        </w:tc>
      </w:tr>
      <w:tr>
        <w:tc>
          <w:tcPr>
            <w:tcW w:type="dxa" w:w="3360"/>
            <w:vAlign w:val="center"/>
          </w:tcPr>
          <w:p>
            <w:pPr>
              <w:spacing w:after="0"/>
            </w:pPr>
            <w:r/>
            <w:r>
              <w:rPr>
                <w:rFonts w:ascii="Aptos" w:hAnsi="Aptos"/>
                <w:b w:val="0"/>
                <w:sz w:val="16"/>
              </w:rPr>
              <w:t>Weeks 1–2</w:t>
            </w:r>
          </w:p>
        </w:tc>
        <w:tc>
          <w:tcPr>
            <w:tcW w:type="dxa" w:w="3360"/>
            <w:vAlign w:val="center"/>
          </w:tcPr>
          <w:p>
            <w:pPr>
              <w:spacing w:after="0"/>
            </w:pPr>
            <w:r/>
            <w:r>
              <w:rPr>
                <w:rFonts w:ascii="Aptos" w:hAnsi="Aptos"/>
                <w:b w:val="0"/>
                <w:sz w:val="16"/>
              </w:rPr>
              <w:t>Validate currency, opening hours, menu size availability, and POS totals.</w:t>
            </w:r>
          </w:p>
        </w:tc>
        <w:tc>
          <w:tcPr>
            <w:tcW w:type="dxa" w:w="3360"/>
            <w:vAlign w:val="center"/>
          </w:tcPr>
          <w:p>
            <w:pPr>
              <w:spacing w:after="0"/>
            </w:pPr>
            <w:r/>
            <w:r>
              <w:rPr>
                <w:rFonts w:ascii="Aptos" w:hAnsi="Aptos"/>
                <w:b w:val="0"/>
                <w:sz w:val="16"/>
              </w:rPr>
              <w:t>Operations + Finance / Data</w:t>
            </w:r>
          </w:p>
        </w:tc>
      </w:tr>
      <w:tr>
        <w:tc>
          <w:tcPr>
            <w:tcW w:type="dxa" w:w="3360"/>
            <w:vAlign w:val="center"/>
            <w:shd w:fill="EAF1F8"/>
          </w:tcPr>
          <w:p>
            <w:pPr>
              <w:spacing w:after="0"/>
            </w:pPr>
            <w:r/>
            <w:r>
              <w:rPr>
                <w:rFonts w:ascii="Aptos" w:hAnsi="Aptos"/>
                <w:b w:val="0"/>
                <w:sz w:val="16"/>
              </w:rPr>
              <w:t>Weeks 1–2</w:t>
            </w:r>
          </w:p>
        </w:tc>
        <w:tc>
          <w:tcPr>
            <w:tcW w:type="dxa" w:w="3360"/>
            <w:vAlign w:val="center"/>
            <w:shd w:fill="EAF1F8"/>
          </w:tcPr>
          <w:p>
            <w:pPr>
              <w:spacing w:after="0"/>
            </w:pPr>
            <w:r/>
            <w:r>
              <w:rPr>
                <w:rFonts w:ascii="Aptos" w:hAnsi="Aptos"/>
                <w:b w:val="0"/>
                <w:sz w:val="16"/>
              </w:rPr>
              <w:t>Build a staffing heatmap by weekday and hour; compare sales peaks with wait-time and labor data.</w:t>
            </w:r>
          </w:p>
        </w:tc>
        <w:tc>
          <w:tcPr>
            <w:tcW w:type="dxa" w:w="3360"/>
            <w:vAlign w:val="center"/>
            <w:shd w:fill="EAF1F8"/>
          </w:tcPr>
          <w:p>
            <w:pPr>
              <w:spacing w:after="0"/>
            </w:pPr>
            <w:r/>
            <w:r>
              <w:rPr>
                <w:rFonts w:ascii="Aptos" w:hAnsi="Aptos"/>
                <w:b w:val="0"/>
                <w:sz w:val="16"/>
              </w:rPr>
              <w:t>Store Operations</w:t>
            </w:r>
          </w:p>
        </w:tc>
      </w:tr>
      <w:tr>
        <w:tc>
          <w:tcPr>
            <w:tcW w:type="dxa" w:w="3360"/>
            <w:vAlign w:val="center"/>
          </w:tcPr>
          <w:p>
            <w:pPr>
              <w:spacing w:after="0"/>
            </w:pPr>
            <w:r/>
            <w:r>
              <w:rPr>
                <w:rFonts w:ascii="Aptos" w:hAnsi="Aptos"/>
                <w:b w:val="0"/>
                <w:sz w:val="16"/>
              </w:rPr>
              <w:t>Weeks 3–4</w:t>
            </w:r>
          </w:p>
        </w:tc>
        <w:tc>
          <w:tcPr>
            <w:tcW w:type="dxa" w:w="3360"/>
            <w:vAlign w:val="center"/>
          </w:tcPr>
          <w:p>
            <w:pPr>
              <w:spacing w:after="0"/>
            </w:pPr>
            <w:r/>
            <w:r>
              <w:rPr>
                <w:rFonts w:ascii="Aptos" w:hAnsi="Aptos"/>
                <w:b w:val="0"/>
                <w:sz w:val="16"/>
              </w:rPr>
              <w:t>Protect top-selling pizzas and review low-selling products with cost and waste data.</w:t>
            </w:r>
          </w:p>
        </w:tc>
        <w:tc>
          <w:tcPr>
            <w:tcW w:type="dxa" w:w="3360"/>
            <w:vAlign w:val="center"/>
          </w:tcPr>
          <w:p>
            <w:pPr>
              <w:spacing w:after="0"/>
            </w:pPr>
            <w:r/>
            <w:r>
              <w:rPr>
                <w:rFonts w:ascii="Aptos" w:hAnsi="Aptos"/>
                <w:b w:val="0"/>
                <w:sz w:val="16"/>
              </w:rPr>
              <w:t>Kitchen + Menu Manager</w:t>
            </w:r>
          </w:p>
        </w:tc>
      </w:tr>
      <w:tr>
        <w:tc>
          <w:tcPr>
            <w:tcW w:type="dxa" w:w="3360"/>
            <w:vAlign w:val="center"/>
            <w:shd w:fill="EAF1F8"/>
          </w:tcPr>
          <w:p>
            <w:pPr>
              <w:spacing w:after="0"/>
            </w:pPr>
            <w:r/>
            <w:r>
              <w:rPr>
                <w:rFonts w:ascii="Aptos" w:hAnsi="Aptos"/>
                <w:b w:val="0"/>
                <w:sz w:val="16"/>
              </w:rPr>
              <w:t>Month 2</w:t>
            </w:r>
          </w:p>
        </w:tc>
        <w:tc>
          <w:tcPr>
            <w:tcW w:type="dxa" w:w="3360"/>
            <w:vAlign w:val="center"/>
            <w:shd w:fill="EAF1F8"/>
          </w:tcPr>
          <w:p>
            <w:pPr>
              <w:spacing w:after="0"/>
            </w:pPr>
            <w:r/>
            <w:r>
              <w:rPr>
                <w:rFonts w:ascii="Aptos" w:hAnsi="Aptos"/>
                <w:b w:val="0"/>
                <w:sz w:val="16"/>
              </w:rPr>
              <w:t>Pilot Sunday offer and October-style low-period promotions; use a control/comparison period.</w:t>
            </w:r>
          </w:p>
        </w:tc>
        <w:tc>
          <w:tcPr>
            <w:tcW w:type="dxa" w:w="3360"/>
            <w:vAlign w:val="center"/>
            <w:shd w:fill="EAF1F8"/>
          </w:tcPr>
          <w:p>
            <w:pPr>
              <w:spacing w:after="0"/>
            </w:pPr>
            <w:r/>
            <w:r>
              <w:rPr>
                <w:rFonts w:ascii="Aptos" w:hAnsi="Aptos"/>
                <w:b w:val="0"/>
                <w:sz w:val="16"/>
              </w:rPr>
              <w:t>Marketing + Finance</w:t>
            </w:r>
          </w:p>
        </w:tc>
      </w:tr>
      <w:tr>
        <w:tc>
          <w:tcPr>
            <w:tcW w:type="dxa" w:w="3360"/>
            <w:vAlign w:val="center"/>
          </w:tcPr>
          <w:p>
            <w:pPr>
              <w:spacing w:after="0"/>
            </w:pPr>
            <w:r/>
            <w:r>
              <w:rPr>
                <w:rFonts w:ascii="Aptos" w:hAnsi="Aptos"/>
                <w:b w:val="0"/>
                <w:sz w:val="16"/>
              </w:rPr>
              <w:t>Month 2</w:t>
            </w:r>
          </w:p>
        </w:tc>
        <w:tc>
          <w:tcPr>
            <w:tcW w:type="dxa" w:w="3360"/>
            <w:vAlign w:val="center"/>
          </w:tcPr>
          <w:p>
            <w:pPr>
              <w:spacing w:after="0"/>
            </w:pPr>
            <w:r/>
            <w:r>
              <w:rPr>
                <w:rFonts w:ascii="Aptos" w:hAnsi="Aptos"/>
                <w:b w:val="0"/>
                <w:sz w:val="16"/>
              </w:rPr>
              <w:t>Test size upgrades and bundles; avoid evaluating on revenue alone.</w:t>
            </w:r>
          </w:p>
        </w:tc>
        <w:tc>
          <w:tcPr>
            <w:tcW w:type="dxa" w:w="3360"/>
            <w:vAlign w:val="center"/>
          </w:tcPr>
          <w:p>
            <w:pPr>
              <w:spacing w:after="0"/>
            </w:pPr>
            <w:r/>
            <w:r>
              <w:rPr>
                <w:rFonts w:ascii="Aptos" w:hAnsi="Aptos"/>
                <w:b w:val="0"/>
                <w:sz w:val="16"/>
              </w:rPr>
              <w:t>Marketing + Operations</w:t>
            </w:r>
          </w:p>
        </w:tc>
      </w:tr>
      <w:tr>
        <w:tc>
          <w:tcPr>
            <w:tcW w:type="dxa" w:w="3360"/>
            <w:vAlign w:val="center"/>
            <w:shd w:fill="EAF1F8"/>
          </w:tcPr>
          <w:p>
            <w:pPr>
              <w:spacing w:after="0"/>
            </w:pPr>
            <w:r/>
            <w:r>
              <w:rPr>
                <w:rFonts w:ascii="Aptos" w:hAnsi="Aptos"/>
                <w:b w:val="0"/>
                <w:sz w:val="16"/>
              </w:rPr>
              <w:t>Month 3</w:t>
            </w:r>
          </w:p>
        </w:tc>
        <w:tc>
          <w:tcPr>
            <w:tcW w:type="dxa" w:w="3360"/>
            <w:vAlign w:val="center"/>
            <w:shd w:fill="EAF1F8"/>
          </w:tcPr>
          <w:p>
            <w:pPr>
              <w:spacing w:after="0"/>
            </w:pPr>
            <w:r/>
            <w:r>
              <w:rPr>
                <w:rFonts w:ascii="Aptos" w:hAnsi="Aptos"/>
                <w:b w:val="0"/>
                <w:sz w:val="16"/>
              </w:rPr>
              <w:t>Integrate ingredient and operating costs into Power BI and report contribution margin.</w:t>
            </w:r>
          </w:p>
        </w:tc>
        <w:tc>
          <w:tcPr>
            <w:tcW w:type="dxa" w:w="3360"/>
            <w:vAlign w:val="center"/>
            <w:shd w:fill="EAF1F8"/>
          </w:tcPr>
          <w:p>
            <w:pPr>
              <w:spacing w:after="0"/>
            </w:pPr>
            <w:r/>
            <w:r>
              <w:rPr>
                <w:rFonts w:ascii="Aptos" w:hAnsi="Aptos"/>
                <w:b w:val="0"/>
                <w:sz w:val="16"/>
              </w:rPr>
              <w:t>Finance + Data Analyst</w:t>
            </w:r>
          </w:p>
        </w:tc>
      </w:tr>
    </w:tbl>
    <w:p>
      <w:pPr>
        <w:spacing w:after="20"/>
      </w:pPr>
    </w:p>
    <w:p>
      <w:pPr>
        <w:pStyle w:val="Heading1"/>
      </w:pPr>
      <w:r>
        <w:t>Conclusion</w:t>
      </w:r>
    </w:p>
    <w:p>
      <w:pPr>
        <w:spacing w:after="80"/>
      </w:pPr>
      <w:r>
        <w:t>The clearest opportunity is to make operations more demand-led: prepare for Friday and lunch peaks, protect the highest-selling pizzas, and test carefully measured offers for weaker days and periods. Product and size decisions should be based on contribution margin and waste—not sales alone. Adding cost and service data will turn this sales dashboard into a stronger executive decision tool.</w:t>
      </w:r>
    </w:p>
    <w:p>
      <w:pPr>
        <w:spacing w:after="80"/>
      </w:pPr>
      <w:r>
        <w:t>Analytical note: figures are calculated from the supplied “Pizza_sales cleaned2.csv” file. Recommendations are proposed actions, not proof of causal effects; pilots should be evaluated against comparable baseline periods.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Pizza Sales Executive Insights | Portfolio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