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ACF6E70"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A32690">
        <w:rPr>
          <w:rFonts w:ascii="Times New Roman" w:hAnsi="Times New Roman" w:cs="Times New Roman"/>
          <w:color w:val="000000"/>
          <w:sz w:val="24"/>
          <w:szCs w:val="24"/>
          <w:shd w:val="clear" w:color="auto" w:fill="FFFFFF"/>
        </w:rPr>
        <w:instrText xml:space="preserve"> ADDIN EN.CITE &lt;EndNote&gt;&lt;Cite&gt;&lt;Author&gt;Fuster&lt;/Author&gt;&lt;Year&gt;1997&lt;/Year&gt;&lt;RecNum&gt;43&lt;/RecNum&gt;&lt;DisplayText&gt;(Fuster et al., 1997)&lt;/DisplayText&gt;&lt;record&gt;&lt;rec-number&gt;43&lt;/rec-number&gt;&lt;foreign-keys&gt;&lt;key app="EN" db-id="2fv9pp5xj9dpedepep0pw20vztzv92p0pzv5" timestamp="1582685242"&gt;43&lt;/key&gt;&lt;/foreign-keys&gt;&lt;ref-type name="Journal Article"&gt;17&lt;/ref-type&gt;&lt;contributors&gt;&lt;authors&gt;&lt;author&gt;Fuster, J. F.&lt;/author&gt;&lt;author&gt;Pagés, T.&lt;/author&gt;&lt;author&gt;Palacios, L.&lt;/author&gt;&lt;/authors&gt;&lt;/contributors&gt;&lt;titles&gt;&lt;title&gt;Effect of temperature on oxygen stores during aerobic diving in the freshwater turtle Mauremys caspica leprosa&lt;/title&gt;&lt;secondary-title&gt;Physiological Zoology&lt;/secondary-title&gt;&lt;/titles&gt;&lt;periodical&gt;&lt;full-title&gt;Physiological Zoology&lt;/full-title&gt;&lt;/periodical&gt;&lt;pages&gt;7-18&lt;/pages&gt;&lt;volume&gt;70&lt;/volume&gt;&lt;number&gt;1&lt;/number&gt;&lt;keywords&gt;&lt;keyword&gt;Diving&lt;/keyword&gt;&lt;keyword&gt;Oxygenators&lt;/keyword&gt;&lt;/keywords&gt;&lt;dates&gt;&lt;year&gt;1997&lt;/year&gt;&lt;pub-dates&gt;&lt;date&gt;1997&lt;/date&gt;&lt;/pub-dates&gt;&lt;/dates&gt;&lt;accession-num&gt;rayyan-58087300&lt;/accession-num&gt;&lt;urls&gt;&lt;related-urls&gt;&lt;url&gt;https://www.scopus.com/inward/record.uri?eid=2-s2.0-0030993382&amp;amp;doi=10.1086%2f639531&amp;amp;partnerID=40&amp;amp;md5=b9a24c3df9b45b4d34541aae29ddc0da&lt;/url&gt;&lt;/related-urls&gt;&lt;/urls&gt;&lt;custom1&gt;RAYYAN-INCLUSION: {&amp;quot;Essie&amp;quot;=&amp;gt;&amp;quot;Included&amp;quot;}&lt;/custom1&gt;&lt;/record&gt;&lt;/Cite&gt;&lt;/EndNote&gt;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A32690">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4E3B0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711A687B" w:rsidR="004E3B0B" w:rsidRDefault="004E3B0B" w:rsidP="00A32690">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A32690">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A32690">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A32690">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8D5249">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A326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 xml:space="preserve">were conducted at high temperatures only smaller differences in dive duration are expected.  </w:t>
      </w:r>
      <w:commentRangeEnd w:id="1"/>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AA023A">
        <w:t>random-effects</w:t>
      </w:r>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A32690">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0F4731B0" w14:textId="429AACE6" w:rsidR="00510003" w:rsidRPr="00293E9A" w:rsidRDefault="00293E9A" w:rsidP="00A32690">
      <w:pPr>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1BE793A3" w:rsidR="00693A79" w:rsidRPr="00F0523E" w:rsidRDefault="00F0523E" w:rsidP="00693A79">
      <w:pPr>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3"/>
      <w:proofErr w:type="spellStart"/>
      <w:r>
        <w:rPr>
          <w:rFonts w:ascii="Times New Roman" w:hAnsi="Times New Roman" w:cs="Times New Roman"/>
          <w:sz w:val="24"/>
          <w:szCs w:val="24"/>
          <w:lang w:val="en-US"/>
        </w:rPr>
        <w:t xml:space="preserve">Lag </w:t>
      </w:r>
      <w:proofErr w:type="spellEnd"/>
      <w:r>
        <w:rPr>
          <w:rFonts w:ascii="Times New Roman" w:hAnsi="Times New Roman" w:cs="Times New Roman"/>
          <w:sz w:val="24"/>
          <w:szCs w:val="24"/>
          <w:lang w:val="en-US"/>
        </w:rPr>
        <w:t xml:space="preserve">effects can also exist where initial </w:t>
      </w:r>
      <w:commentRangeEnd w:id="3"/>
      <w:r w:rsidR="004B4E00">
        <w:rPr>
          <w:rStyle w:val="CommentReference"/>
        </w:rPr>
        <w:commentReference w:id="3"/>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w:t>
      </w:r>
      <w:commentRangeStart w:id="4"/>
      <w:r>
        <w:rPr>
          <w:rFonts w:ascii="Times New Roman" w:hAnsi="Times New Roman" w:cs="Times New Roman"/>
          <w:sz w:val="24"/>
          <w:szCs w:val="24"/>
          <w:lang w:val="en-US"/>
        </w:rPr>
        <w:t xml:space="preserve">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w:t>
      </w:r>
      <w:commentRangeEnd w:id="4"/>
      <w:r w:rsidR="00A2685B">
        <w:rPr>
          <w:rStyle w:val="CommentReference"/>
        </w:rPr>
        <w:commentReference w:id="4"/>
      </w:r>
      <w:r>
        <w:rPr>
          <w:rFonts w:ascii="Times New Roman" w:hAnsi="Times New Roman" w:cs="Times New Roman"/>
          <w:sz w:val="24"/>
          <w:szCs w:val="24"/>
          <w:lang w:val="en-US"/>
        </w:rPr>
        <w:t>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5"/>
      <w:r w:rsidR="00C343FB">
        <w:rPr>
          <w:rFonts w:ascii="Times New Roman" w:hAnsi="Times New Roman" w:cs="Times New Roman"/>
          <w:sz w:val="24"/>
          <w:szCs w:val="24"/>
          <w:lang w:val="en-US"/>
        </w:rPr>
        <w:t>Egger’s regression</w:t>
      </w:r>
      <w:commentRangeEnd w:id="5"/>
      <w:r w:rsidR="00A2685B">
        <w:rPr>
          <w:rStyle w:val="CommentReference"/>
        </w:rPr>
        <w:commentReference w:id="5"/>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 xml:space="preserve">We used model residuals because strong effect size heterogeneity can lead to what looks to be apparent publication bias (refs).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285BF4A7" w14:textId="317CFA52" w:rsidR="00693A79" w:rsidRDefault="00693A79" w:rsidP="00693A79">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pPr>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w:t>
      </w: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6D051F85"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w:t>
      </w:r>
      <w:commentRangeStart w:id="6"/>
      <w:r>
        <w:rPr>
          <w:rFonts w:ascii="Times New Roman" w:hAnsi="Times New Roman" w:cs="Times New Roman"/>
          <w:iCs/>
          <w:sz w:val="24"/>
          <w:szCs w:val="24"/>
          <w:lang w:val="en-US"/>
        </w:rPr>
        <w:t>15 papers reporting data on 16 species</w:t>
      </w:r>
      <w:commentRangeEnd w:id="6"/>
      <w:r w:rsidR="00DF68CC">
        <w:rPr>
          <w:rStyle w:val="CommentReference"/>
        </w:rPr>
        <w:commentReference w:id="6"/>
      </w:r>
      <w:r>
        <w:rPr>
          <w:rFonts w:ascii="Times New Roman" w:hAnsi="Times New Roman" w:cs="Times New Roman"/>
          <w:iCs/>
          <w:sz w:val="24"/>
          <w:szCs w:val="24"/>
          <w:lang w:val="en-US"/>
        </w:rPr>
        <w:t xml:space="preserve">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Figure x shows the spread of data across these orders and the number of aerial and bimodal breathing species. We calculated 55 effect sizes 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lastRenderedPageBreak/>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proofErr w:type="spellStart"/>
      <w:r w:rsidR="00DE505B" w:rsidRPr="00DE505B">
        <w:rPr>
          <w:rFonts w:ascii="Times New Roman" w:hAnsi="Times New Roman" w:cs="Times New Roman"/>
          <w:i/>
          <w:sz w:val="24"/>
          <w:szCs w:val="24"/>
          <w:lang w:val="en-US"/>
        </w:rPr>
        <w:t>Elusor</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macrurus</w:t>
      </w:r>
      <w:proofErr w:type="spellEnd"/>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8972DB2" w:rsidR="00906F49" w:rsidRDefault="00906F49" w:rsidP="009146A0">
      <w:pPr>
        <w:rPr>
          <w:rFonts w:ascii="Times New Roman" w:hAnsi="Times New Roman" w:cs="Times New Roman"/>
          <w:iCs/>
          <w:sz w:val="24"/>
          <w:szCs w:val="24"/>
          <w:lang w:val="en-US"/>
        </w:rPr>
      </w:pPr>
    </w:p>
    <w:p w14:paraId="5AC0F395" w14:textId="77777777" w:rsidR="006110DB" w:rsidRPr="009146A0" w:rsidRDefault="006110DB" w:rsidP="009146A0">
      <w:pPr>
        <w:rPr>
          <w:rFonts w:ascii="Times New Roman" w:hAnsi="Times New Roman" w:cs="Times New Roman"/>
          <w:iCs/>
          <w:sz w:val="24"/>
          <w:szCs w:val="24"/>
          <w:lang w:val="en-US"/>
        </w:rPr>
      </w:pPr>
    </w:p>
    <w:p w14:paraId="674F230C" w14:textId="32929E8B"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9C0C8C1" w:rsidR="00141F52" w:rsidRPr="00A95BBA" w:rsidRDefault="00925E8F" w:rsidP="00A32690">
      <w:pPr>
        <w:ind w:firstLine="720"/>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7"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7"/>
      <w:r w:rsidR="00DE113E" w:rsidRPr="00A95BBA">
        <w:rPr>
          <w:rFonts w:ascii="Times New Roman" w:eastAsia="Calibri" w:hAnsi="Times New Roman" w:cs="Times New Roman"/>
          <w:sz w:val="24"/>
          <w:szCs w:val="24"/>
        </w:rPr>
        <w:t xml:space="preserve">, 95% confidence interval, CI: </w:t>
      </w:r>
      <w:bookmarkStart w:id="8" w:name="OLE_LINK2"/>
      <w:r w:rsidR="00DE113E" w:rsidRPr="00A95BBA">
        <w:rPr>
          <w:rFonts w:ascii="Times New Roman" w:eastAsia="Calibri" w:hAnsi="Times New Roman" w:cs="Times New Roman"/>
          <w:sz w:val="24"/>
          <w:szCs w:val="24"/>
        </w:rPr>
        <w:t>-1.</w:t>
      </w:r>
      <w:bookmarkStart w:id="9" w:name="OLE_LINK3"/>
      <w:bookmarkEnd w:id="8"/>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9"/>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10"/>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10"/>
      <w:r w:rsidR="0004059B">
        <w:rPr>
          <w:rStyle w:val="CommentReference"/>
        </w:rPr>
        <w:commentReference w:id="10"/>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commentRangeStart w:id="11"/>
      <w:r w:rsidR="00B5718E" w:rsidRPr="00A95BBA">
        <w:rPr>
          <w:rFonts w:ascii="Times New Roman" w:hAnsi="Times New Roman" w:cs="Times New Roman"/>
          <w:i/>
          <w:iCs/>
          <w:sz w:val="24"/>
          <w:szCs w:val="24"/>
          <w:lang w:val="en-US"/>
        </w:rPr>
        <w:t>Do larger increases in temperature exert a strong effect on dive duration means and variability?</w:t>
      </w:r>
      <w:commentRangeEnd w:id="11"/>
      <w:r w:rsidR="00D97F78">
        <w:rPr>
          <w:rStyle w:val="CommentReference"/>
        </w:rPr>
        <w:commentReference w:id="11"/>
      </w:r>
    </w:p>
    <w:p w14:paraId="66550BD9" w14:textId="33AC3FA4" w:rsidR="00B34A13" w:rsidRDefault="00844493" w:rsidP="00B34A13">
      <w:pPr>
        <w:ind w:firstLine="720"/>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suggested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where also highly variable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96348C">
        <w:rPr>
          <w:rFonts w:ascii="Times New Roman" w:hAnsi="Times New Roman" w:cs="Times New Roman"/>
          <w:iCs/>
          <w:sz w:val="24"/>
          <w:szCs w:val="24"/>
          <w:lang w:val="en-US"/>
        </w:rPr>
        <w:t>30</w:t>
      </w:r>
      <w:r w:rsidRPr="00A95BBA">
        <w:rPr>
          <w:rFonts w:ascii="Times New Roman" w:hAnsi="Times New Roman" w:cs="Times New Roman"/>
          <w:iCs/>
          <w:sz w:val="24"/>
          <w:szCs w:val="24"/>
          <w:lang w:val="en-US"/>
        </w:rPr>
        <w:t xml:space="preserve">%, </w:t>
      </w:r>
      <w:commentRangeStart w:id="12"/>
      <w:commentRangeStart w:id="13"/>
      <w:r w:rsidRPr="00A95BBA">
        <w:rPr>
          <w:rFonts w:ascii="Times New Roman" w:hAnsi="Times New Roman" w:cs="Times New Roman"/>
          <w:iCs/>
          <w:sz w:val="24"/>
          <w:szCs w:val="24"/>
          <w:lang w:val="en-US"/>
        </w:rPr>
        <w:t>54.4%, 68.4% and 76.5%,</w:t>
      </w:r>
      <w:commentRangeEnd w:id="12"/>
      <w:r w:rsidR="0096348C">
        <w:rPr>
          <w:rStyle w:val="CommentReference"/>
        </w:rPr>
        <w:commentReference w:id="12"/>
      </w:r>
      <w:commentRangeEnd w:id="13"/>
      <w:r w:rsidR="0096348C">
        <w:rPr>
          <w:rStyle w:val="CommentReference"/>
        </w:rPr>
        <w:commentReference w:id="13"/>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w:t>
      </w:r>
    </w:p>
    <w:p w14:paraId="19F4384B" w14:textId="0D693717" w:rsidR="00106ACC" w:rsidRPr="00A95BBA" w:rsidRDefault="005A50AD" w:rsidP="00A32690">
      <w:pPr>
        <w:ind w:firstLine="720"/>
        <w:rPr>
          <w:rFonts w:ascii="Times New Roman" w:hAnsi="Times New Roman" w:cs="Times New Roman"/>
          <w:iCs/>
          <w:sz w:val="24"/>
          <w:szCs w:val="24"/>
          <w:lang w:val="en-US"/>
        </w:rPr>
      </w:pPr>
      <w:r>
        <w:rPr>
          <w:rFonts w:ascii="Times New Roman" w:hAnsi="Times New Roman" w:cs="Times New Roman"/>
          <w:sz w:val="24"/>
          <w:szCs w:val="24"/>
          <w:lang w:val="en-US"/>
        </w:rPr>
        <w:t>In contrast, t</w:t>
      </w:r>
      <w:r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to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5B3AF721"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4" w:name="OLE_LINK4"/>
      <w:r w:rsidRPr="009A7ABA">
        <w:rPr>
          <w:rFonts w:ascii="Times New Roman" w:hAnsi="Times New Roman" w:cs="Times New Roman"/>
          <w:sz w:val="24"/>
          <w:szCs w:val="24"/>
          <w:lang w:val="en-US"/>
        </w:rPr>
        <w:t>-0.</w:t>
      </w:r>
      <w:bookmarkEnd w:id="14"/>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5"/>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 xml:space="preserve">-0.23, 95% CI: -1.053–0.597;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lastRenderedPageBreak/>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CI: </w:t>
      </w:r>
      <w:bookmarkStart w:id="16"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6"/>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7" w:name="OLE_LINK30"/>
      <w:r w:rsidR="000E517A" w:rsidRPr="00CD4C92">
        <w:rPr>
          <w:rFonts w:ascii="Times New Roman" w:hAnsi="Times New Roman" w:cs="Times New Roman"/>
          <w:sz w:val="24"/>
          <w:szCs w:val="24"/>
          <w:lang w:val="en-US"/>
        </w:rPr>
        <w:t>1.</w:t>
      </w:r>
      <w:bookmarkEnd w:id="17"/>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8"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8"/>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334042C6" w14:textId="0027906C" w:rsidR="00B16CEA" w:rsidRDefault="00B16CEA">
      <w:pPr>
        <w:rPr>
          <w:rFonts w:ascii="Times New Roman" w:hAnsi="Times New Roman" w:cs="Times New Roman"/>
          <w:i/>
          <w:iCs/>
          <w:sz w:val="24"/>
          <w:szCs w:val="24"/>
          <w:lang w:val="en-US"/>
        </w:rPr>
      </w:pPr>
    </w:p>
    <w:p w14:paraId="08DC3423" w14:textId="77777777" w:rsidR="009F3F03" w:rsidRDefault="009F3F03">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25AE49E9"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w:t>
      </w:r>
      <w:r w:rsidR="000B37D2">
        <w:rPr>
          <w:rFonts w:ascii="Times New Roman" w:hAnsi="Times New Roman" w:cs="Times New Roman"/>
          <w:iCs/>
          <w:sz w:val="24"/>
          <w:szCs w:val="24"/>
          <w:lang w:val="en-US"/>
        </w:rPr>
        <w:t>nces observed with increased temperature when controlling for the temperature difference, mean temperature and respiration mode</w:t>
      </w:r>
      <w:r w:rsidR="00B16CEA" w:rsidRPr="00B16CEA">
        <w:rPr>
          <w:rFonts w:ascii="Times New Roman" w:hAnsi="Times New Roman" w:cs="Times New Roman"/>
          <w:iCs/>
          <w:sz w:val="24"/>
          <w:szCs w:val="24"/>
          <w:lang w:val="en-US"/>
        </w:rPr>
        <w:t xml:space="preserve"> in either</w:t>
      </w:r>
      <w:r w:rsidR="000B37D2">
        <w:rPr>
          <w:rFonts w:ascii="Times New Roman" w:hAnsi="Times New Roman" w:cs="Times New Roman"/>
          <w:iCs/>
          <w:sz w:val="24"/>
          <w:szCs w:val="24"/>
          <w:lang w:val="en-US"/>
        </w:rPr>
        <w:t xml:space="preserve"> the</w:t>
      </w:r>
      <w:r w:rsidR="00B16CEA" w:rsidRPr="00B16CEA">
        <w:rPr>
          <w:rFonts w:ascii="Times New Roman" w:hAnsi="Times New Roman" w:cs="Times New Roman"/>
          <w:iCs/>
          <w:sz w:val="24"/>
          <w:szCs w:val="24"/>
          <w:lang w:val="en-US"/>
        </w:rPr>
        <w:t xml:space="preserve"> mean (</w:t>
      </w:r>
      <w:proofErr w:type="spellStart"/>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RR</w:t>
      </w:r>
      <w:proofErr w:type="spellEnd"/>
      <w:r w:rsidR="00B16CEA">
        <w:rPr>
          <w:rStyle w:val="gd15mcfceub"/>
          <w:rFonts w:ascii="Times New Roman" w:hAnsi="Times New Roman" w:cs="Times New Roman"/>
          <w:color w:val="000000"/>
          <w:sz w:val="24"/>
          <w:szCs w:val="24"/>
          <w:bdr w:val="none" w:sz="0" w:space="0" w:color="auto" w:frame="1"/>
        </w:rPr>
        <w:t xml:space="preserve">; </w:t>
      </w:r>
      <w:r w:rsidR="005A0E8B">
        <w:rPr>
          <w:rStyle w:val="gd15mcfceub"/>
          <w:rFonts w:ascii="Times New Roman" w:hAnsi="Times New Roman" w:cs="Times New Roman"/>
          <w:color w:val="000000"/>
          <w:sz w:val="24"/>
          <w:szCs w:val="24"/>
          <w:bdr w:val="none" w:sz="0" w:space="0" w:color="auto" w:frame="1"/>
        </w:rPr>
        <w:t>0.126, 95% CI: -1.83 – 0.544</w:t>
      </w:r>
      <w:r w:rsidR="00B16CEA">
        <w:rPr>
          <w:rStyle w:val="gd15mcfceub"/>
          <w:rFonts w:ascii="Times New Roman" w:hAnsi="Times New Roman" w:cs="Times New Roman"/>
          <w:color w:val="000000"/>
          <w:sz w:val="24"/>
          <w:szCs w:val="24"/>
          <w:bdr w:val="none" w:sz="0" w:space="0" w:color="auto" w:frame="1"/>
        </w:rPr>
        <w:t>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 Table S2)</w:t>
      </w:r>
      <w:r w:rsidR="00A069F2">
        <w:rPr>
          <w:rFonts w:ascii="Times New Roman" w:eastAsia="Times New Roman" w:hAnsi="Times New Roman" w:cs="Times New Roman"/>
          <w:color w:val="000000"/>
          <w:sz w:val="24"/>
          <w:szCs w:val="24"/>
          <w:bdr w:val="none" w:sz="0" w:space="0" w:color="auto" w:frame="1"/>
          <w:lang w:eastAsia="en-AU"/>
        </w:rPr>
        <w:t xml:space="preserve">. </w:t>
      </w:r>
      <w:r w:rsidR="00A13F95">
        <w:rPr>
          <w:rFonts w:ascii="Times New Roman" w:eastAsia="Times New Roman" w:hAnsi="Times New Roman" w:cs="Times New Roman"/>
          <w:color w:val="000000"/>
          <w:sz w:val="24"/>
          <w:szCs w:val="24"/>
          <w:bdr w:val="none" w:sz="0" w:space="0" w:color="auto" w:frame="1"/>
          <w:lang w:eastAsia="en-AU"/>
        </w:rPr>
        <w:t xml:space="preserve">This was also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 xml:space="preserve">1, 95%CI: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commentRangeStart w:id="19"/>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commentRangeEnd w:id="19"/>
      <w:r w:rsidR="006B1876">
        <w:rPr>
          <w:rStyle w:val="CommentReference"/>
        </w:rPr>
        <w:commentReference w:id="19"/>
      </w:r>
    </w:p>
    <w:p w14:paraId="3446F1AC" w14:textId="56AF531E" w:rsidR="00B27B5F" w:rsidRDefault="009F3F03">
      <w:pPr>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1F147FBD" w14:textId="504FDEFE" w:rsidR="009F3F03" w:rsidRDefault="007107B3">
      <w:pPr>
        <w:rPr>
          <w:rFonts w:ascii="Times New Roman" w:hAnsi="Times New Roman" w:cs="Times New Roman"/>
          <w:sz w:val="24"/>
          <w:szCs w:val="24"/>
          <w:lang w:val="en-US"/>
        </w:rPr>
      </w:pPr>
      <w:r>
        <w:rPr>
          <w:rFonts w:ascii="Times New Roman" w:hAnsi="Times New Roman" w:cs="Times New Roman"/>
          <w:sz w:val="24"/>
          <w:szCs w:val="24"/>
          <w:lang w:val="en-US"/>
        </w:rPr>
        <w:t>[</w:t>
      </w:r>
      <w:r w:rsidR="009F3F03">
        <w:rPr>
          <w:rFonts w:ascii="Times New Roman" w:hAnsi="Times New Roman" w:cs="Times New Roman"/>
          <w:sz w:val="24"/>
          <w:szCs w:val="24"/>
          <w:lang w:val="en-US"/>
        </w:rPr>
        <w:t>Overall paragraph</w:t>
      </w:r>
      <w:r>
        <w:rPr>
          <w:rFonts w:ascii="Times New Roman" w:hAnsi="Times New Roman" w:cs="Times New Roman"/>
          <w:sz w:val="24"/>
          <w:szCs w:val="24"/>
          <w:lang w:val="en-US"/>
        </w:rPr>
        <w:t>]</w:t>
      </w:r>
    </w:p>
    <w:p w14:paraId="232AA312" w14:textId="77777777" w:rsidR="007107B3" w:rsidRDefault="007107B3">
      <w:pPr>
        <w:rPr>
          <w:rFonts w:ascii="Times New Roman" w:hAnsi="Times New Roman" w:cs="Times New Roman"/>
          <w:sz w:val="24"/>
          <w:szCs w:val="24"/>
          <w:lang w:val="en-US"/>
        </w:rPr>
      </w:pPr>
    </w:p>
    <w:p w14:paraId="35B28355" w14:textId="05AE9B74" w:rsidR="009F3F03" w:rsidRPr="009F3F03" w:rsidRDefault="00D34FED">
      <w:pPr>
        <w:rPr>
          <w:rFonts w:ascii="Times New Roman" w:hAnsi="Times New Roman" w:cs="Times New Roman"/>
          <w:sz w:val="24"/>
          <w:szCs w:val="24"/>
          <w:lang w:val="en-US"/>
        </w:rPr>
      </w:pPr>
      <w:r w:rsidRPr="00A95BBA">
        <w:rPr>
          <w:rFonts w:ascii="Times New Roman" w:hAnsi="Times New Roman" w:cs="Times New Roman"/>
          <w:i/>
          <w:iCs/>
          <w:sz w:val="24"/>
          <w:szCs w:val="24"/>
          <w:lang w:val="en-US"/>
        </w:rPr>
        <w:t>Did acute increases in temperature reduce</w:t>
      </w:r>
      <w:r>
        <w:rPr>
          <w:rFonts w:ascii="Times New Roman" w:hAnsi="Times New Roman" w:cs="Times New Roman"/>
          <w:i/>
          <w:iCs/>
          <w:sz w:val="24"/>
          <w:szCs w:val="24"/>
          <w:lang w:val="en-US"/>
        </w:rPr>
        <w:t xml:space="preserve"> overall</w:t>
      </w:r>
      <w:r w:rsidRPr="00A95BBA">
        <w:rPr>
          <w:rFonts w:ascii="Times New Roman" w:hAnsi="Times New Roman" w:cs="Times New Roman"/>
          <w:i/>
          <w:iCs/>
          <w:sz w:val="24"/>
          <w:szCs w:val="24"/>
          <w:lang w:val="en-US"/>
        </w:rPr>
        <w:t xml:space="preserve"> dive duration mean and variability?</w:t>
      </w:r>
    </w:p>
    <w:p w14:paraId="6F2CA612" w14:textId="77777777" w:rsidR="009F3F03" w:rsidRDefault="009F3F03">
      <w:pPr>
        <w:rPr>
          <w:rFonts w:ascii="Times New Roman" w:hAnsi="Times New Roman" w:cs="Times New Roman"/>
          <w:b/>
          <w:bCs/>
          <w:sz w:val="24"/>
          <w:szCs w:val="24"/>
          <w:lang w:val="en-US"/>
        </w:rPr>
      </w:pPr>
    </w:p>
    <w:p w14:paraId="5B37A027" w14:textId="650F7820" w:rsidR="009F3F03" w:rsidRDefault="00D34FED">
      <w:pPr>
        <w:rPr>
          <w:rFonts w:ascii="Times New Roman" w:hAnsi="Times New Roman" w:cs="Times New Roman"/>
          <w:b/>
          <w:bCs/>
          <w:sz w:val="24"/>
          <w:szCs w:val="24"/>
          <w:lang w:val="en-US"/>
        </w:rPr>
      </w:pPr>
      <w:r w:rsidRPr="00A95BBA">
        <w:rPr>
          <w:rFonts w:ascii="Times New Roman" w:hAnsi="Times New Roman" w:cs="Times New Roman"/>
          <w:i/>
          <w:iCs/>
          <w:sz w:val="24"/>
          <w:szCs w:val="24"/>
          <w:lang w:val="en-US"/>
        </w:rPr>
        <w:t>Do larger increases in temperature exert a strong effect on dive duration means and variability?</w:t>
      </w:r>
    </w:p>
    <w:p w14:paraId="47EDBE71" w14:textId="77777777" w:rsidR="009F3F03" w:rsidRDefault="009F3F03">
      <w:pPr>
        <w:rPr>
          <w:rFonts w:ascii="Times New Roman" w:hAnsi="Times New Roman" w:cs="Times New Roman"/>
          <w:b/>
          <w:bCs/>
          <w:sz w:val="24"/>
          <w:szCs w:val="24"/>
          <w:lang w:val="en-US"/>
        </w:rPr>
      </w:pPr>
    </w:p>
    <w:p w14:paraId="0F0040C2" w14:textId="01F24025" w:rsidR="009F3F03" w:rsidRDefault="00D34FED">
      <w:pPr>
        <w:rPr>
          <w:rFonts w:ascii="Times New Roman" w:hAnsi="Times New Roman" w:cs="Times New Roman"/>
          <w:b/>
          <w:bCs/>
          <w:sz w:val="24"/>
          <w:szCs w:val="24"/>
          <w:lang w:val="en-US"/>
        </w:rPr>
      </w:pPr>
      <w:r>
        <w:rPr>
          <w:rFonts w:ascii="Times New Roman" w:hAnsi="Times New Roman" w:cs="Times New Roman"/>
          <w:i/>
          <w:iCs/>
          <w:sz w:val="24"/>
          <w:szCs w:val="24"/>
          <w:lang w:val="en-US"/>
        </w:rPr>
        <w:t>Are the effects of temperature on dive duration means and variability weaker in bimodal breathers compared to aerial breathers?</w:t>
      </w:r>
    </w:p>
    <w:p w14:paraId="617325CE" w14:textId="3833ED2E" w:rsidR="009F3F03" w:rsidRDefault="009F3F03">
      <w:pPr>
        <w:rPr>
          <w:rFonts w:ascii="Times New Roman" w:hAnsi="Times New Roman" w:cs="Times New Roman"/>
          <w:b/>
          <w:bCs/>
          <w:sz w:val="24"/>
          <w:szCs w:val="24"/>
          <w:lang w:val="en-US"/>
        </w:rPr>
      </w:pPr>
    </w:p>
    <w:p w14:paraId="3B1EC38B" w14:textId="2640906D" w:rsidR="0096521C" w:rsidRDefault="0096521C">
      <w:pPr>
        <w:rPr>
          <w:rFonts w:ascii="Times New Roman" w:hAnsi="Times New Roman" w:cs="Times New Roman"/>
          <w:b/>
          <w:bCs/>
          <w:sz w:val="24"/>
          <w:szCs w:val="24"/>
          <w:lang w:val="en-US"/>
        </w:rPr>
      </w:pPr>
    </w:p>
    <w:p w14:paraId="15F172C7" w14:textId="6ACCF337" w:rsidR="0096521C" w:rsidRDefault="0096521C">
      <w:pPr>
        <w:rPr>
          <w:rFonts w:ascii="Times New Roman" w:hAnsi="Times New Roman" w:cs="Times New Roman"/>
          <w:b/>
          <w:bCs/>
          <w:sz w:val="24"/>
          <w:szCs w:val="24"/>
          <w:lang w:val="en-US"/>
        </w:rPr>
      </w:pPr>
    </w:p>
    <w:p w14:paraId="539B644A" w14:textId="0B634686" w:rsidR="0096521C" w:rsidRDefault="0096521C">
      <w:pPr>
        <w:rPr>
          <w:rFonts w:ascii="Times New Roman" w:hAnsi="Times New Roman" w:cs="Times New Roman"/>
          <w:b/>
          <w:bCs/>
          <w:sz w:val="24"/>
          <w:szCs w:val="24"/>
          <w:lang w:val="en-US"/>
        </w:rPr>
      </w:pPr>
    </w:p>
    <w:p w14:paraId="7A953BC6" w14:textId="4A230481" w:rsidR="0096521C" w:rsidRDefault="0096521C">
      <w:pPr>
        <w:rPr>
          <w:rFonts w:ascii="Times New Roman" w:hAnsi="Times New Roman" w:cs="Times New Roman"/>
          <w:b/>
          <w:bCs/>
          <w:sz w:val="24"/>
          <w:szCs w:val="24"/>
          <w:lang w:val="en-US"/>
        </w:rPr>
      </w:pPr>
    </w:p>
    <w:p w14:paraId="3C70A028" w14:textId="47BCE976" w:rsidR="0096521C" w:rsidRDefault="0096521C">
      <w:pPr>
        <w:rPr>
          <w:rFonts w:ascii="Times New Roman" w:hAnsi="Times New Roman" w:cs="Times New Roman"/>
          <w:b/>
          <w:bCs/>
          <w:sz w:val="24"/>
          <w:szCs w:val="24"/>
          <w:lang w:val="en-US"/>
        </w:rPr>
      </w:pPr>
    </w:p>
    <w:p w14:paraId="35551FEC" w14:textId="1DB66239" w:rsidR="0096521C" w:rsidRDefault="0096521C">
      <w:pPr>
        <w:rPr>
          <w:rFonts w:ascii="Times New Roman" w:hAnsi="Times New Roman" w:cs="Times New Roman"/>
          <w:b/>
          <w:bCs/>
          <w:sz w:val="24"/>
          <w:szCs w:val="24"/>
          <w:lang w:val="en-US"/>
        </w:rPr>
      </w:pPr>
    </w:p>
    <w:p w14:paraId="78E2F51A" w14:textId="35E1E2D4" w:rsidR="0096521C" w:rsidRDefault="0096521C">
      <w:pPr>
        <w:rPr>
          <w:rFonts w:ascii="Times New Roman" w:hAnsi="Times New Roman" w:cs="Times New Roman"/>
          <w:b/>
          <w:bCs/>
          <w:sz w:val="24"/>
          <w:szCs w:val="24"/>
          <w:lang w:val="en-US"/>
        </w:rPr>
      </w:pPr>
    </w:p>
    <w:p w14:paraId="35C7A693" w14:textId="474E1AC9" w:rsidR="0096521C" w:rsidRDefault="0096521C">
      <w:pPr>
        <w:rPr>
          <w:rFonts w:ascii="Times New Roman" w:hAnsi="Times New Roman" w:cs="Times New Roman"/>
          <w:b/>
          <w:bCs/>
          <w:sz w:val="24"/>
          <w:szCs w:val="24"/>
          <w:lang w:val="en-US"/>
        </w:rPr>
      </w:pPr>
    </w:p>
    <w:p w14:paraId="1A667281" w14:textId="77777777" w:rsidR="0096521C" w:rsidRDefault="0096521C">
      <w:pPr>
        <w:rPr>
          <w:rFonts w:ascii="Times New Roman" w:hAnsi="Times New Roman" w:cs="Times New Roman"/>
          <w:b/>
          <w:bCs/>
          <w:sz w:val="24"/>
          <w:szCs w:val="24"/>
          <w:lang w:val="en-US"/>
        </w:rPr>
      </w:pPr>
    </w:p>
    <w:p w14:paraId="5C4F7D73" w14:textId="26417984" w:rsidR="00F8671B" w:rsidRDefault="00F8671B" w:rsidP="00216298">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Respiration mode</w:t>
      </w:r>
    </w:p>
    <w:p w14:paraId="79002A54" w14:textId="083E626C" w:rsidR="0096521C" w:rsidRDefault="007107B3" w:rsidP="002162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But this prediction does not account for the marked difference in the temperature-sensitivity of tissue gas diffusion (the primary gas exchange mechanism in </w:t>
      </w:r>
      <w:r w:rsidR="00216298">
        <w:rPr>
          <w:rFonts w:ascii="Times New Roman" w:hAnsi="Times New Roman" w:cs="Times New Roman"/>
          <w:sz w:val="24"/>
          <w:szCs w:val="24"/>
          <w:lang w:val="en-US"/>
        </w:rPr>
        <w:t>bimodal breathers</w:t>
      </w:r>
      <w:r w:rsidR="005B379B">
        <w:rPr>
          <w:rFonts w:ascii="Times New Roman" w:hAnsi="Times New Roman" w:cs="Times New Roman"/>
          <w:sz w:val="24"/>
          <w:szCs w:val="24"/>
          <w:lang w:val="en-US"/>
        </w:rPr>
        <w:t>)</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Consequently, aquatic respiration rates cannot keep pace with this exponential rise in oxygen demands and the relative contribution of aquatic respiration (via diffusion) to total respiration decreases as temperatures rise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785AFD">
        <w:rPr>
          <w:rFonts w:ascii="Times New Roman" w:hAnsi="Times New Roman" w:cs="Times New Roman"/>
          <w:sz w:val="24"/>
          <w:szCs w:val="24"/>
          <w:lang w:val="en-US"/>
        </w:rPr>
        <w:t xml:space="preserve">Moreover, the solubility of oxygen in water declines as temperature increases, further reducing the efficiency of aquatic respiration. </w:t>
      </w:r>
      <w:r w:rsidR="00C92BA6">
        <w:rPr>
          <w:rFonts w:ascii="Times New Roman" w:hAnsi="Times New Roman" w:cs="Times New Roman"/>
          <w:sz w:val="24"/>
          <w:szCs w:val="24"/>
          <w:lang w:val="en-US"/>
        </w:rPr>
        <w:t xml:space="preserve">Indeed, several studies have shown that </w:t>
      </w:r>
      <w:r w:rsidR="00234524">
        <w:rPr>
          <w:rFonts w:ascii="Times New Roman" w:hAnsi="Times New Roman" w:cs="Times New Roman"/>
          <w:sz w:val="24"/>
          <w:szCs w:val="24"/>
          <w:lang w:val="en-US"/>
        </w:rPr>
        <w:t>relative contribution</w:t>
      </w:r>
      <w:r w:rsidR="0096521C">
        <w:rPr>
          <w:rFonts w:ascii="Times New Roman" w:hAnsi="Times New Roman" w:cs="Times New Roman"/>
          <w:sz w:val="24"/>
          <w:szCs w:val="24"/>
          <w:lang w:val="en-US"/>
        </w:rPr>
        <w:t>s</w:t>
      </w:r>
      <w:r w:rsidR="00234524">
        <w:rPr>
          <w:rFonts w:ascii="Times New Roman" w:hAnsi="Times New Roman" w:cs="Times New Roman"/>
          <w:sz w:val="24"/>
          <w:szCs w:val="24"/>
          <w:lang w:val="en-US"/>
        </w:rPr>
        <w:t xml:space="preserve">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 xml:space="preserve">either decrease with rising temperature or </w:t>
      </w:r>
      <w:r w:rsidR="0096521C">
        <w:rPr>
          <w:rFonts w:ascii="Times New Roman" w:hAnsi="Times New Roman" w:cs="Times New Roman"/>
          <w:sz w:val="24"/>
          <w:szCs w:val="24"/>
          <w:lang w:val="en-US"/>
        </w:rPr>
        <w:t>are</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are therefore</w:t>
      </w:r>
      <w:r w:rsidR="00234524">
        <w:rPr>
          <w:rFonts w:ascii="Times New Roman" w:hAnsi="Times New Roman" w:cs="Times New Roman"/>
          <w:sz w:val="24"/>
          <w:szCs w:val="24"/>
          <w:lang w:val="en-US"/>
        </w:rPr>
        <w:t xml:space="preserve"> </w:t>
      </w:r>
      <w:r w:rsidR="0096521C">
        <w:rPr>
          <w:rFonts w:ascii="Times New Roman" w:hAnsi="Times New Roman" w:cs="Times New Roman"/>
          <w:sz w:val="24"/>
          <w:szCs w:val="24"/>
          <w:lang w:val="en-US"/>
        </w:rPr>
        <w:t xml:space="preserve">only realized at cooler temperatures, and </w:t>
      </w:r>
      <w:r w:rsidR="00FF3A60">
        <w:rPr>
          <w:rFonts w:ascii="Times New Roman" w:hAnsi="Times New Roman" w:cs="Times New Roman"/>
          <w:sz w:val="24"/>
          <w:szCs w:val="24"/>
          <w:lang w:val="en-US"/>
        </w:rPr>
        <w:t xml:space="preserve">bimodal and aerial breathers appear to be equally sensitive to the negative effects of warming on dive durations. </w:t>
      </w:r>
    </w:p>
    <w:p w14:paraId="4899D235" w14:textId="368596EC" w:rsidR="0096521C" w:rsidRDefault="0096521C" w:rsidP="00216298">
      <w:pPr>
        <w:jc w:val="both"/>
        <w:rPr>
          <w:rFonts w:ascii="Times New Roman" w:hAnsi="Times New Roman" w:cs="Times New Roman"/>
          <w:sz w:val="24"/>
          <w:szCs w:val="24"/>
          <w:lang w:val="en-US"/>
        </w:rPr>
      </w:pPr>
    </w:p>
    <w:p w14:paraId="3DFBBAE5" w14:textId="27A32444" w:rsidR="000B3DBA" w:rsidRDefault="000B3DBA" w:rsidP="00216298">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Body size</w:t>
      </w:r>
    </w:p>
    <w:p w14:paraId="2790F7E0" w14:textId="4277CBC3" w:rsidR="0024184F" w:rsidRDefault="00C727C5" w:rsidP="00C727C5">
      <w:pPr>
        <w:pStyle w:val="Default"/>
        <w:spacing w:line="276" w:lineRule="auto"/>
        <w:jc w:val="both"/>
        <w:rPr>
          <w:iCs/>
          <w:lang w:val="en-US"/>
        </w:rPr>
      </w:pPr>
      <w:r w:rsidRPr="00C727C5">
        <w:rPr>
          <w:lang w:val="en-US"/>
        </w:rPr>
        <w:t xml:space="preserve">Contrary to our predictions, </w:t>
      </w:r>
      <w:r>
        <w:rPr>
          <w:lang w:val="en-US"/>
        </w:rPr>
        <w:t>b</w:t>
      </w:r>
      <w:r w:rsidRPr="00B16CEA">
        <w:rPr>
          <w:lang w:val="en-US"/>
        </w:rPr>
        <w:t xml:space="preserve">ody mass </w:t>
      </w:r>
      <w:r w:rsidRPr="00B16CEA">
        <w:rPr>
          <w:iCs/>
          <w:lang w:val="en-US"/>
        </w:rPr>
        <w:t>had no effect on the magnitude of differe</w:t>
      </w:r>
      <w:r>
        <w:rPr>
          <w:iCs/>
          <w:lang w:val="en-US"/>
        </w:rPr>
        <w:t xml:space="preserve">nces observed with increased temperature. As such, smaller divers do not appear to be disproportionately affected by increases in temperature </w:t>
      </w:r>
      <w:r w:rsidR="0024184F">
        <w:rPr>
          <w:iCs/>
          <w:lang w:val="en-US"/>
        </w:rPr>
        <w:t xml:space="preserve">compared to larger divers, despite having smaller oxygen stores and higher mass-specific metabolic rates. </w:t>
      </w:r>
    </w:p>
    <w:p w14:paraId="3A6C126B" w14:textId="77777777" w:rsidR="0024184F" w:rsidRDefault="0024184F" w:rsidP="00C727C5">
      <w:pPr>
        <w:pStyle w:val="Default"/>
        <w:spacing w:line="276" w:lineRule="auto"/>
        <w:jc w:val="both"/>
        <w:rPr>
          <w:iCs/>
          <w:lang w:val="en-US"/>
        </w:rPr>
      </w:pPr>
    </w:p>
    <w:p w14:paraId="534DDFB0" w14:textId="77777777" w:rsidR="0024184F" w:rsidRDefault="0024184F" w:rsidP="00C727C5">
      <w:pPr>
        <w:pStyle w:val="Default"/>
        <w:spacing w:line="276" w:lineRule="auto"/>
        <w:jc w:val="both"/>
        <w:rPr>
          <w:iCs/>
          <w:lang w:val="en-US"/>
        </w:rPr>
      </w:pPr>
    </w:p>
    <w:p w14:paraId="45614143" w14:textId="5F0B65D1" w:rsidR="00C727C5" w:rsidRDefault="00C727C5" w:rsidP="00C727C5">
      <w:pPr>
        <w:pStyle w:val="Default"/>
        <w:spacing w:line="276" w:lineRule="auto"/>
        <w:jc w:val="both"/>
        <w:rPr>
          <w:rFonts w:ascii="Cambria" w:hAnsi="Cambria"/>
          <w:bCs/>
        </w:rPr>
      </w:pPr>
      <w:r w:rsidRPr="00C727C5">
        <w:rPr>
          <w:bCs/>
        </w:rPr>
        <w:t xml:space="preserve">The influence of body mass on dive durations was originally questioned in ectotherms </w:t>
      </w:r>
      <w:r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Pr="00C727C5">
        <w:rPr>
          <w:bCs/>
        </w:rPr>
        <w:instrText xml:space="preserve"> ADDIN EN.CITE </w:instrText>
      </w:r>
      <w:r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Pr="00C727C5">
        <w:rPr>
          <w:bCs/>
        </w:rPr>
        <w:instrText xml:space="preserve"> ADDIN EN.CITE.DATA </w:instrText>
      </w:r>
      <w:r w:rsidRPr="00C727C5">
        <w:rPr>
          <w:bCs/>
        </w:rPr>
      </w:r>
      <w:r w:rsidRPr="00C727C5">
        <w:rPr>
          <w:bCs/>
        </w:rPr>
        <w:fldChar w:fldCharType="end"/>
      </w:r>
      <w:r w:rsidRPr="00C727C5">
        <w:rPr>
          <w:bCs/>
        </w:rPr>
      </w:r>
      <w:r w:rsidRPr="00C727C5">
        <w:rPr>
          <w:bCs/>
        </w:rPr>
        <w:fldChar w:fldCharType="separate"/>
      </w:r>
      <w:r w:rsidRPr="00C727C5">
        <w:rPr>
          <w:bCs/>
          <w:noProof/>
        </w:rPr>
        <w:t>(Brischoux et al., 2008; Campbell et al., 2010b)</w:t>
      </w:r>
      <w:r w:rsidRPr="00C727C5">
        <w:rPr>
          <w:bCs/>
        </w:rPr>
        <w:fldChar w:fldCharType="end"/>
      </w:r>
      <w:r w:rsidRPr="00C727C5">
        <w:rPr>
          <w:bCs/>
        </w:rPr>
        <w:t>, however</w:t>
      </w:r>
      <w:r>
        <w:rPr>
          <w:bCs/>
        </w:rPr>
        <w:t>;</w:t>
      </w:r>
      <w:r w:rsidRPr="00C727C5">
        <w:rPr>
          <w:bCs/>
        </w:rPr>
        <w:t xml:space="preserve"> </w:t>
      </w:r>
      <w:r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Pr="00C727C5">
        <w:rPr>
          <w:bCs/>
        </w:rPr>
        <w:instrText xml:space="preserve"> ADDIN EN.CITE </w:instrText>
      </w:r>
      <w:r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Pr="00C727C5">
        <w:rPr>
          <w:bCs/>
        </w:rPr>
        <w:instrText xml:space="preserve"> ADDIN EN.CITE.DATA </w:instrText>
      </w:r>
      <w:r w:rsidRPr="00C727C5">
        <w:rPr>
          <w:bCs/>
        </w:rPr>
      </w:r>
      <w:r w:rsidRPr="00C727C5">
        <w:rPr>
          <w:bCs/>
        </w:rPr>
        <w:fldChar w:fldCharType="end"/>
      </w:r>
      <w:r w:rsidRPr="00C727C5">
        <w:rPr>
          <w:bCs/>
        </w:rPr>
      </w:r>
      <w:r w:rsidRPr="00C727C5">
        <w:rPr>
          <w:bCs/>
        </w:rPr>
        <w:fldChar w:fldCharType="separate"/>
      </w:r>
      <w:r w:rsidRPr="00C727C5">
        <w:rPr>
          <w:bCs/>
          <w:noProof/>
        </w:rPr>
        <w:t>Hayward et al. (2016)</w:t>
      </w:r>
      <w:r w:rsidRPr="00C727C5">
        <w:rPr>
          <w:bCs/>
        </w:rPr>
        <w:fldChar w:fldCharType="end"/>
      </w:r>
      <w:r w:rsidRPr="00C727C5">
        <w:rPr>
          <w:bCs/>
        </w:rPr>
        <w:t xml:space="preserve"> found that </w:t>
      </w:r>
      <w:r w:rsidRPr="00C727C5">
        <w:rPr>
          <w:bCs/>
        </w:rPr>
        <w:lastRenderedPageBreak/>
        <w:t>after controlling for the effect of temperature, dive durations increase as a power law with body mass</w:t>
      </w:r>
      <w:r>
        <w:rPr>
          <w:rFonts w:ascii="Cambria" w:hAnsi="Cambria"/>
          <w:bCs/>
        </w:rPr>
        <w:t xml:space="preserve">. </w:t>
      </w:r>
    </w:p>
    <w:p w14:paraId="71A26EAC" w14:textId="3F117351" w:rsidR="00C727C5" w:rsidRDefault="00C727C5" w:rsidP="00216298">
      <w:pPr>
        <w:jc w:val="both"/>
        <w:rPr>
          <w:rFonts w:ascii="Times New Roman" w:hAnsi="Times New Roman" w:cs="Times New Roman"/>
          <w:sz w:val="24"/>
          <w:szCs w:val="24"/>
          <w:lang w:val="en-US"/>
        </w:rPr>
      </w:pPr>
    </w:p>
    <w:p w14:paraId="765D1339" w14:textId="77777777" w:rsidR="005B379B" w:rsidRDefault="005B379B">
      <w:pPr>
        <w:rPr>
          <w:rFonts w:ascii="Times New Roman" w:hAnsi="Times New Roman" w:cs="Times New Roman"/>
          <w:sz w:val="24"/>
          <w:szCs w:val="24"/>
          <w:lang w:val="en-US"/>
        </w:rPr>
      </w:pPr>
    </w:p>
    <w:p w14:paraId="77F2E574" w14:textId="77777777" w:rsidR="005B379B" w:rsidRDefault="005B379B">
      <w:pPr>
        <w:rPr>
          <w:rFonts w:ascii="Times New Roman" w:hAnsi="Times New Roman" w:cs="Times New Roman"/>
          <w:sz w:val="24"/>
          <w:szCs w:val="24"/>
          <w:lang w:val="en-US"/>
        </w:rPr>
      </w:pPr>
    </w:p>
    <w:p w14:paraId="679BE4D5" w14:textId="77777777" w:rsidR="009F3F03" w:rsidRDefault="009F3F03">
      <w:pPr>
        <w:rPr>
          <w:rFonts w:ascii="Times New Roman" w:hAnsi="Times New Roman" w:cs="Times New Roman"/>
          <w:b/>
          <w:bCs/>
          <w:sz w:val="24"/>
          <w:szCs w:val="24"/>
          <w:lang w:val="en-US"/>
        </w:rPr>
      </w:pPr>
    </w:p>
    <w:p w14:paraId="2D565F40" w14:textId="77777777" w:rsidR="009F3F03" w:rsidRDefault="009F3F03">
      <w:pPr>
        <w:rPr>
          <w:rFonts w:ascii="Times New Roman" w:hAnsi="Times New Roman" w:cs="Times New Roman"/>
          <w:b/>
          <w:bCs/>
          <w:sz w:val="24"/>
          <w:szCs w:val="24"/>
          <w:lang w:val="en-US"/>
        </w:rPr>
      </w:pPr>
    </w:p>
    <w:p w14:paraId="006A7C26" w14:textId="77777777" w:rsidR="009F3F03" w:rsidRDefault="009F3F03">
      <w:pPr>
        <w:rPr>
          <w:rFonts w:ascii="Times New Roman" w:hAnsi="Times New Roman" w:cs="Times New Roman"/>
          <w:b/>
          <w:bCs/>
          <w:sz w:val="24"/>
          <w:szCs w:val="24"/>
          <w:lang w:val="en-US"/>
        </w:rPr>
      </w:pPr>
    </w:p>
    <w:p w14:paraId="2286B656" w14:textId="77777777" w:rsidR="009F3F03" w:rsidRDefault="009F3F03">
      <w:pPr>
        <w:rPr>
          <w:rFonts w:ascii="Times New Roman" w:hAnsi="Times New Roman" w:cs="Times New Roman"/>
          <w:b/>
          <w:bCs/>
          <w:sz w:val="24"/>
          <w:szCs w:val="24"/>
          <w:lang w:val="en-US"/>
        </w:rPr>
      </w:pPr>
    </w:p>
    <w:p w14:paraId="1F2EBB27" w14:textId="77777777" w:rsidR="009F3F03" w:rsidRDefault="009F3F03">
      <w:pPr>
        <w:rPr>
          <w:rFonts w:ascii="Times New Roman" w:hAnsi="Times New Roman" w:cs="Times New Roman"/>
          <w:b/>
          <w:bCs/>
          <w:sz w:val="24"/>
          <w:szCs w:val="24"/>
          <w:lang w:val="en-US"/>
        </w:rPr>
      </w:pPr>
    </w:p>
    <w:p w14:paraId="353C2B68" w14:textId="77777777" w:rsidR="009F3F03" w:rsidRDefault="009F3F03">
      <w:pPr>
        <w:rPr>
          <w:rFonts w:ascii="Times New Roman" w:hAnsi="Times New Roman" w:cs="Times New Roman"/>
          <w:b/>
          <w:bCs/>
          <w:sz w:val="24"/>
          <w:szCs w:val="24"/>
          <w:lang w:val="en-US"/>
        </w:rPr>
      </w:pPr>
    </w:p>
    <w:p w14:paraId="7A5FD663" w14:textId="77777777" w:rsidR="009F3F03" w:rsidRDefault="009F3F03">
      <w:pPr>
        <w:rPr>
          <w:rFonts w:ascii="Times New Roman" w:hAnsi="Times New Roman" w:cs="Times New Roman"/>
          <w:b/>
          <w:bCs/>
          <w:sz w:val="24"/>
          <w:szCs w:val="24"/>
          <w:lang w:val="en-US"/>
        </w:rPr>
      </w:pPr>
    </w:p>
    <w:p w14:paraId="1508F49E" w14:textId="77777777" w:rsidR="009F3F03" w:rsidRDefault="009F3F03">
      <w:pPr>
        <w:rPr>
          <w:rFonts w:ascii="Times New Roman" w:hAnsi="Times New Roman" w:cs="Times New Roman"/>
          <w:b/>
          <w:bCs/>
          <w:sz w:val="24"/>
          <w:szCs w:val="24"/>
          <w:lang w:val="en-US"/>
        </w:rPr>
      </w:pPr>
    </w:p>
    <w:p w14:paraId="0A1E738F" w14:textId="77777777" w:rsidR="009F3F03" w:rsidRDefault="009F3F03">
      <w:pPr>
        <w:rPr>
          <w:rFonts w:ascii="Times New Roman" w:hAnsi="Times New Roman" w:cs="Times New Roman"/>
          <w:b/>
          <w:bCs/>
          <w:sz w:val="24"/>
          <w:szCs w:val="24"/>
          <w:lang w:val="en-US"/>
        </w:rPr>
      </w:pPr>
    </w:p>
    <w:p w14:paraId="3F57142B" w14:textId="139D06E6" w:rsidR="0074770C" w:rsidRDefault="0074770C">
      <w:pPr>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C4FC5C4"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20"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20"/>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proofErr w:type="spellStart"/>
      <w:r w:rsidR="00D06ADB">
        <w:rPr>
          <w:rFonts w:ascii="Times New Roman" w:hAnsi="Times New Roman" w:cs="Times New Roman"/>
          <w:sz w:val="24"/>
          <w:szCs w:val="24"/>
          <w:lang w:val="en-US"/>
        </w:rPr>
        <w:t>ive</w:t>
      </w:r>
      <w:proofErr w:type="spellEnd"/>
      <w:r w:rsidR="00D06ADB">
        <w:rPr>
          <w:rFonts w:ascii="Times New Roman" w:hAnsi="Times New Roman" w:cs="Times New Roman"/>
          <w:sz w:val="24"/>
          <w:szCs w:val="24"/>
          <w:lang w:val="en-US"/>
        </w:rPr>
        <w:t xml:space="preser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313104FC" w14:textId="7A42B158" w:rsidR="0074770C" w:rsidRDefault="00B12C8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w:t>
      </w:r>
      <w:commentRangeStart w:id="21"/>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21"/>
      <w:r w:rsidR="005724C0">
        <w:rPr>
          <w:rStyle w:val="CommentReference"/>
        </w:rPr>
        <w:commentReference w:id="21"/>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pPr>
        <w:rPr>
          <w:rFonts w:ascii="Times New Roman" w:hAnsi="Times New Roman" w:cs="Times New Roman"/>
          <w:b/>
          <w:bCs/>
          <w:sz w:val="24"/>
          <w:szCs w:val="24"/>
          <w:lang w:val="en-US"/>
        </w:rPr>
      </w:pPr>
    </w:p>
    <w:p w14:paraId="343F00BA" w14:textId="700BC159" w:rsidR="006110DB" w:rsidRDefault="006110DB">
      <w:pPr>
        <w:rPr>
          <w:rFonts w:ascii="Times New Roman" w:hAnsi="Times New Roman" w:cs="Times New Roman"/>
          <w:b/>
          <w:bCs/>
          <w:sz w:val="24"/>
          <w:szCs w:val="24"/>
          <w:lang w:val="en-US"/>
        </w:rPr>
      </w:pPr>
    </w:p>
    <w:p w14:paraId="0E05751C" w14:textId="026A7DBB" w:rsidR="006110DB" w:rsidRDefault="006110DB">
      <w:pPr>
        <w:rPr>
          <w:rFonts w:ascii="Times New Roman" w:hAnsi="Times New Roman" w:cs="Times New Roman"/>
          <w:b/>
          <w:bCs/>
          <w:sz w:val="24"/>
          <w:szCs w:val="24"/>
          <w:lang w:val="en-US"/>
        </w:rPr>
      </w:pPr>
    </w:p>
    <w:p w14:paraId="4A661825" w14:textId="49B91989" w:rsidR="006110DB" w:rsidRDefault="006110DB">
      <w:pPr>
        <w:rPr>
          <w:rFonts w:ascii="Times New Roman" w:hAnsi="Times New Roman" w:cs="Times New Roman"/>
          <w:b/>
          <w:bCs/>
          <w:sz w:val="24"/>
          <w:szCs w:val="24"/>
          <w:lang w:val="en-US"/>
        </w:rPr>
      </w:pPr>
    </w:p>
    <w:p w14:paraId="5D15824C" w14:textId="1D347C2C" w:rsidR="006110DB" w:rsidRDefault="006110DB">
      <w:pPr>
        <w:rPr>
          <w:rFonts w:ascii="Times New Roman" w:hAnsi="Times New Roman" w:cs="Times New Roman"/>
          <w:b/>
          <w:bCs/>
          <w:sz w:val="24"/>
          <w:szCs w:val="24"/>
          <w:lang w:val="en-US"/>
        </w:rPr>
      </w:pPr>
    </w:p>
    <w:p w14:paraId="018C604E" w14:textId="77777777" w:rsidR="006110DB" w:rsidRDefault="006110DB">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76263C34" w14:textId="77777777" w:rsidR="000924BE" w:rsidRPr="000924BE" w:rsidRDefault="000328C2" w:rsidP="000924BE">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0924BE" w:rsidRPr="000924BE">
        <w:tab/>
      </w:r>
      <w:r w:rsidR="000924BE" w:rsidRPr="000924BE">
        <w:rPr>
          <w:b/>
        </w:rPr>
        <w:t>Aubret, F., Tort, M. and Sarraude, T.</w:t>
      </w:r>
      <w:r w:rsidR="000924BE" w:rsidRPr="000924BE">
        <w:t xml:space="preserve"> (2015). Evolution of alternative foraging tactics driven by water temperature and physiological constraints in an amphibious snake. </w:t>
      </w:r>
      <w:r w:rsidR="000924BE" w:rsidRPr="000924BE">
        <w:rPr>
          <w:i/>
        </w:rPr>
        <w:t>Biological Journal of the Linnean Society</w:t>
      </w:r>
      <w:r w:rsidR="000924BE" w:rsidRPr="000924BE">
        <w:t xml:space="preserve"> </w:t>
      </w:r>
      <w:r w:rsidR="000924BE" w:rsidRPr="000924BE">
        <w:rPr>
          <w:b/>
        </w:rPr>
        <w:t>115</w:t>
      </w:r>
      <w:r w:rsidR="000924BE" w:rsidRPr="000924BE">
        <w:t>, 411-422.</w:t>
      </w:r>
    </w:p>
    <w:p w14:paraId="0E4891DA" w14:textId="77777777" w:rsidR="000924BE" w:rsidRPr="000924BE" w:rsidRDefault="000924BE" w:rsidP="000924BE">
      <w:pPr>
        <w:pStyle w:val="EndNoteBibliography"/>
        <w:spacing w:after="0"/>
      </w:pPr>
      <w:r w:rsidRPr="000924BE">
        <w:tab/>
      </w:r>
      <w:r w:rsidRPr="000924BE">
        <w:rPr>
          <w:b/>
        </w:rPr>
        <w:t>Bentivegna, F., Hochscheid, S. and Minucci, C.</w:t>
      </w:r>
      <w:r w:rsidRPr="000924BE">
        <w:t xml:space="preserve"> (2003). Seasonal variability in voluntary dive duration of the Mediterranean loggerhead turtle, Caretta caretta. </w:t>
      </w:r>
      <w:r w:rsidRPr="000924BE">
        <w:rPr>
          <w:i/>
        </w:rPr>
        <w:t>Scientia Marina</w:t>
      </w:r>
      <w:r w:rsidRPr="000924BE">
        <w:t xml:space="preserve"> </w:t>
      </w:r>
      <w:r w:rsidRPr="000924BE">
        <w:rPr>
          <w:b/>
        </w:rPr>
        <w:t>67</w:t>
      </w:r>
      <w:r w:rsidRPr="000924BE">
        <w:t>, 371-375.</w:t>
      </w:r>
    </w:p>
    <w:p w14:paraId="6C844592" w14:textId="77777777" w:rsidR="000924BE" w:rsidRPr="000924BE" w:rsidRDefault="000924BE" w:rsidP="000924BE">
      <w:pPr>
        <w:pStyle w:val="EndNoteBibliography"/>
        <w:spacing w:after="0"/>
      </w:pPr>
      <w:r w:rsidRPr="000924BE">
        <w:tab/>
      </w:r>
      <w:r w:rsidRPr="000924BE">
        <w:rPr>
          <w:b/>
        </w:rPr>
        <w:t>Bostrom, B. L. and Jones, D. R.</w:t>
      </w:r>
      <w:r w:rsidRPr="000924BE">
        <w:t xml:space="preserve"> (2007). Exercise warms adult leatherback turtles. </w:t>
      </w:r>
      <w:r w:rsidRPr="000924BE">
        <w:rPr>
          <w:i/>
        </w:rPr>
        <w:t>Comparative Biochemistry &amp; Physiology Part A: Molecular and Integrative Physiology</w:t>
      </w:r>
      <w:r w:rsidRPr="000924BE">
        <w:t xml:space="preserve"> </w:t>
      </w:r>
      <w:r w:rsidRPr="000924BE">
        <w:rPr>
          <w:b/>
        </w:rPr>
        <w:t>147</w:t>
      </w:r>
      <w:r w:rsidRPr="000924BE">
        <w:t>, 323-331.</w:t>
      </w:r>
    </w:p>
    <w:p w14:paraId="272FCD85" w14:textId="77777777" w:rsidR="000924BE" w:rsidRPr="000924BE" w:rsidRDefault="000924BE" w:rsidP="000924BE">
      <w:pPr>
        <w:pStyle w:val="EndNoteBibliography"/>
        <w:spacing w:after="0"/>
      </w:pPr>
      <w:r w:rsidRPr="000924BE">
        <w:tab/>
      </w:r>
      <w:r w:rsidRPr="000924BE">
        <w:rPr>
          <w:b/>
        </w:rPr>
        <w:t>Bradshaw, C. J. A., McMahon, C. R. and Hays, G. C.</w:t>
      </w:r>
      <w:r w:rsidRPr="000924BE">
        <w:t xml:space="preserve"> (2007). Behavioral inference of diving metabolic rate in free-ranging leatherback turtles. </w:t>
      </w:r>
      <w:r w:rsidRPr="000924BE">
        <w:rPr>
          <w:i/>
        </w:rPr>
        <w:t>Physiological and Biochemical Zoology</w:t>
      </w:r>
      <w:r w:rsidRPr="000924BE">
        <w:t xml:space="preserve"> </w:t>
      </w:r>
      <w:r w:rsidRPr="000924BE">
        <w:rPr>
          <w:b/>
        </w:rPr>
        <w:t>80</w:t>
      </w:r>
      <w:r w:rsidRPr="000924BE">
        <w:t>, 209-219.</w:t>
      </w:r>
    </w:p>
    <w:p w14:paraId="524512F7" w14:textId="77777777" w:rsidR="000924BE" w:rsidRPr="000924BE" w:rsidRDefault="000924BE" w:rsidP="000924BE">
      <w:pPr>
        <w:pStyle w:val="EndNoteBibliography"/>
        <w:spacing w:after="0"/>
      </w:pPr>
      <w:r w:rsidRPr="000924BE">
        <w:lastRenderedPageBreak/>
        <w:tab/>
      </w:r>
      <w:r w:rsidRPr="000924BE">
        <w:rPr>
          <w:b/>
        </w:rPr>
        <w:t>Brischoux, F., Bonnet, X., Cook, T. R. and Shine, R.</w:t>
      </w:r>
      <w:r w:rsidRPr="000924BE">
        <w:t xml:space="preserve"> (2008). Allometry of diving capacities: ectothermy vs. endothermy. </w:t>
      </w:r>
      <w:r w:rsidRPr="000924BE">
        <w:rPr>
          <w:i/>
        </w:rPr>
        <w:t>Journal of Evolutionary Biology</w:t>
      </w:r>
      <w:r w:rsidRPr="000924BE">
        <w:t xml:space="preserve"> </w:t>
      </w:r>
      <w:r w:rsidRPr="000924BE">
        <w:rPr>
          <w:b/>
        </w:rPr>
        <w:t>21</w:t>
      </w:r>
      <w:r w:rsidRPr="000924BE">
        <w:t>, 324-329.</w:t>
      </w:r>
    </w:p>
    <w:p w14:paraId="5483C463" w14:textId="77777777" w:rsidR="000924BE" w:rsidRPr="000924BE" w:rsidRDefault="000924BE" w:rsidP="000924BE">
      <w:pPr>
        <w:pStyle w:val="EndNoteBibliography"/>
        <w:spacing w:after="0"/>
      </w:pPr>
      <w:r w:rsidRPr="000924BE">
        <w:tab/>
      </w:r>
      <w:r w:rsidRPr="000924BE">
        <w:rPr>
          <w:b/>
        </w:rPr>
        <w:t>Bruton, M. J., Cramp, R. L. and Franklin, C. E.</w:t>
      </w:r>
      <w:r w:rsidRPr="000924BE">
        <w:t xml:space="preserve"> (2012). Benefits of thermal acclimation in a tropical aquatic ectotherm, the Arafura filesnake, Acrochordus arafurae. </w:t>
      </w:r>
      <w:r w:rsidRPr="000924BE">
        <w:rPr>
          <w:i/>
        </w:rPr>
        <w:t>Journal of Comparative Physiology B-Biochemical Systems and Environmental Physiology</w:t>
      </w:r>
      <w:r w:rsidRPr="000924BE">
        <w:t xml:space="preserve"> </w:t>
      </w:r>
      <w:r w:rsidRPr="000924BE">
        <w:rPr>
          <w:b/>
        </w:rPr>
        <w:t>182</w:t>
      </w:r>
      <w:r w:rsidRPr="000924BE">
        <w:t>, 541-551.</w:t>
      </w:r>
    </w:p>
    <w:p w14:paraId="5F5825F4" w14:textId="77777777" w:rsidR="000924BE" w:rsidRPr="000924BE" w:rsidRDefault="000924BE" w:rsidP="000924BE">
      <w:pPr>
        <w:pStyle w:val="EndNoteBibliography"/>
        <w:spacing w:after="0"/>
      </w:pPr>
      <w:r w:rsidRPr="000924BE">
        <w:tab/>
      </w:r>
      <w:r w:rsidRPr="000924BE">
        <w:rPr>
          <w:b/>
        </w:rPr>
        <w:t>Butler, P. J.</w:t>
      </w:r>
      <w:r w:rsidRPr="000924BE">
        <w:t xml:space="preserve"> (2006). Aerobic dive limit. What is it and is it always used appropriately? </w:t>
      </w:r>
      <w:r w:rsidRPr="000924BE">
        <w:rPr>
          <w:i/>
        </w:rPr>
        <w:t>Comparative Biochemistry and Physiology, Part A</w:t>
      </w:r>
      <w:r w:rsidRPr="000924BE">
        <w:t xml:space="preserve"> </w:t>
      </w:r>
      <w:r w:rsidRPr="000924BE">
        <w:rPr>
          <w:b/>
        </w:rPr>
        <w:t>145</w:t>
      </w:r>
      <w:r w:rsidRPr="000924BE">
        <w:t>, 1-6.</w:t>
      </w:r>
    </w:p>
    <w:p w14:paraId="5D51C3F9" w14:textId="77777777" w:rsidR="000924BE" w:rsidRPr="000924BE" w:rsidRDefault="000924BE" w:rsidP="000924BE">
      <w:pPr>
        <w:pStyle w:val="EndNoteBibliography"/>
        <w:spacing w:after="0"/>
      </w:pPr>
      <w:r w:rsidRPr="000924BE">
        <w:tab/>
      </w:r>
      <w:r w:rsidRPr="000924BE">
        <w:rPr>
          <w:b/>
        </w:rPr>
        <w:t>Butler, P. J. and Jones, D. R.</w:t>
      </w:r>
      <w:r w:rsidRPr="000924BE">
        <w:t xml:space="preserve"> (1982). The comparative physiology of diving in vertebrates. </w:t>
      </w:r>
      <w:r w:rsidRPr="000924BE">
        <w:rPr>
          <w:i/>
        </w:rPr>
        <w:t>Advances in Comparative Physiology and Biochemistry</w:t>
      </w:r>
      <w:r w:rsidRPr="000924BE">
        <w:t xml:space="preserve"> </w:t>
      </w:r>
      <w:r w:rsidRPr="000924BE">
        <w:rPr>
          <w:b/>
        </w:rPr>
        <w:t>8</w:t>
      </w:r>
      <w:r w:rsidRPr="000924BE">
        <w:t>, 179-364.</w:t>
      </w:r>
    </w:p>
    <w:p w14:paraId="37740397" w14:textId="77777777" w:rsidR="000924BE" w:rsidRPr="000924BE" w:rsidRDefault="000924BE" w:rsidP="000924BE">
      <w:pPr>
        <w:pStyle w:val="EndNoteBibliography"/>
        <w:spacing w:after="0"/>
      </w:pPr>
      <w:r w:rsidRPr="000924BE">
        <w:tab/>
      </w:r>
      <w:r w:rsidRPr="000924BE">
        <w:rPr>
          <w:b/>
        </w:rPr>
        <w:t>Calosi, P., Bilton, D. T., Spicer, J. I., Verberk, W., Atfield, A. and Garland, T.</w:t>
      </w:r>
      <w:r w:rsidRPr="000924BE">
        <w:t xml:space="preserve"> (2012). The comparative biology of diving in two genera of European Dytiscidae (Coleoptera). </w:t>
      </w:r>
      <w:r w:rsidRPr="000924BE">
        <w:rPr>
          <w:i/>
        </w:rPr>
        <w:t>Journal of Evolutionary Biology</w:t>
      </w:r>
      <w:r w:rsidRPr="000924BE">
        <w:t xml:space="preserve"> </w:t>
      </w:r>
      <w:r w:rsidRPr="000924BE">
        <w:rPr>
          <w:b/>
        </w:rPr>
        <w:t>25</w:t>
      </w:r>
      <w:r w:rsidRPr="000924BE">
        <w:t>, 329-341.</w:t>
      </w:r>
    </w:p>
    <w:p w14:paraId="456494CE" w14:textId="77777777" w:rsidR="000924BE" w:rsidRPr="000924BE" w:rsidRDefault="000924BE" w:rsidP="000924BE">
      <w:pPr>
        <w:pStyle w:val="EndNoteBibliography"/>
        <w:spacing w:after="0"/>
      </w:pPr>
      <w:r w:rsidRPr="000924BE">
        <w:tab/>
      </w:r>
      <w:r w:rsidRPr="000924BE">
        <w:rPr>
          <w:b/>
        </w:rPr>
        <w:t>Campbell, H. A., Dwyer, R. G., Gordos, M. and Franklin, C. E.</w:t>
      </w:r>
      <w:r w:rsidRPr="000924BE">
        <w:t xml:space="preserve"> (2010a). Diving through the thermal window: implications for a warming world. </w:t>
      </w:r>
      <w:r w:rsidRPr="000924BE">
        <w:rPr>
          <w:i/>
        </w:rPr>
        <w:t>Proceedings: Biological Sciences</w:t>
      </w:r>
      <w:r w:rsidRPr="000924BE">
        <w:t xml:space="preserve"> </w:t>
      </w:r>
      <w:r w:rsidRPr="000924BE">
        <w:rPr>
          <w:b/>
        </w:rPr>
        <w:t>277</w:t>
      </w:r>
      <w:r w:rsidRPr="000924BE">
        <w:t>, 3837-3844.</w:t>
      </w:r>
    </w:p>
    <w:p w14:paraId="1921FA08" w14:textId="77777777" w:rsidR="000924BE" w:rsidRPr="000924BE" w:rsidRDefault="000924BE" w:rsidP="000924BE">
      <w:pPr>
        <w:pStyle w:val="EndNoteBibliography"/>
        <w:spacing w:after="0"/>
      </w:pPr>
      <w:r w:rsidRPr="000924BE">
        <w:tab/>
      </w:r>
      <w:r w:rsidRPr="000924BE">
        <w:rPr>
          <w:b/>
        </w:rPr>
        <w:t>Campbell, H. A., Sullivan, S., Read, M. A., Gordos, M. A. and Franklin, C. E.</w:t>
      </w:r>
      <w:r w:rsidRPr="000924BE">
        <w:t xml:space="preserve"> (2010b). Ecological and physiological determinants of dive duration in the freshwater crocodile. </w:t>
      </w:r>
      <w:r w:rsidRPr="000924BE">
        <w:rPr>
          <w:i/>
        </w:rPr>
        <w:t>Functional Ecology</w:t>
      </w:r>
      <w:r w:rsidRPr="000924BE">
        <w:t xml:space="preserve"> </w:t>
      </w:r>
      <w:r w:rsidRPr="000924BE">
        <w:rPr>
          <w:b/>
        </w:rPr>
        <w:t>24</w:t>
      </w:r>
      <w:r w:rsidRPr="000924BE">
        <w:t>, 103-111.</w:t>
      </w:r>
    </w:p>
    <w:p w14:paraId="69C9306B" w14:textId="77777777" w:rsidR="000924BE" w:rsidRPr="000924BE" w:rsidRDefault="000924BE" w:rsidP="000924BE">
      <w:pPr>
        <w:pStyle w:val="EndNoteBibliography"/>
        <w:spacing w:after="0"/>
      </w:pPr>
      <w:r w:rsidRPr="000924BE">
        <w:tab/>
      </w:r>
      <w:r w:rsidRPr="000924BE">
        <w:rPr>
          <w:b/>
        </w:rPr>
        <w:t>Campbell, H. A., Watts, M. E., Sullivan, S., Read, M. A., Choukroun, S., Irwin, S. R. and Franklin, C. E.</w:t>
      </w:r>
      <w:r w:rsidRPr="000924BE">
        <w:t xml:space="preserve"> (2010c). Estuarine crocodiles ride surface currents to facilitate long-distance travel. </w:t>
      </w:r>
      <w:r w:rsidRPr="000924BE">
        <w:rPr>
          <w:i/>
        </w:rPr>
        <w:t>Journal of Animal Ecology</w:t>
      </w:r>
      <w:r w:rsidRPr="000924BE">
        <w:t xml:space="preserve"> </w:t>
      </w:r>
      <w:r w:rsidRPr="000924BE">
        <w:rPr>
          <w:b/>
        </w:rPr>
        <w:t>79</w:t>
      </w:r>
      <w:r w:rsidRPr="000924BE">
        <w:t>, 955-964.</w:t>
      </w:r>
    </w:p>
    <w:p w14:paraId="2A1F4DAC" w14:textId="77777777" w:rsidR="000924BE" w:rsidRPr="000924BE" w:rsidRDefault="000924BE" w:rsidP="000924BE">
      <w:pPr>
        <w:pStyle w:val="EndNoteBibliography"/>
        <w:spacing w:after="0"/>
      </w:pPr>
      <w:r w:rsidRPr="000924BE">
        <w:tab/>
      </w:r>
      <w:r w:rsidRPr="000924BE">
        <w:rPr>
          <w:b/>
        </w:rPr>
        <w:t xml:space="preserve">Costa, D. P. </w:t>
      </w:r>
      <w:r w:rsidRPr="000924BE">
        <w:t xml:space="preserve">(2007). Diving physiology of marine vertebrates. In </w:t>
      </w:r>
      <w:r w:rsidRPr="000924BE">
        <w:rPr>
          <w:i/>
        </w:rPr>
        <w:t xml:space="preserve">Encyclopedia of Life Sciences </w:t>
      </w:r>
      <w:r w:rsidRPr="000924BE">
        <w:t>pp. 1-7. Chichester: John Wiley &amp; Sons Ltd.</w:t>
      </w:r>
    </w:p>
    <w:p w14:paraId="619518FD" w14:textId="77777777" w:rsidR="000924BE" w:rsidRPr="000924BE" w:rsidRDefault="000924BE" w:rsidP="000924BE">
      <w:pPr>
        <w:pStyle w:val="EndNoteBibliography"/>
        <w:spacing w:after="0"/>
      </w:pPr>
      <w:r w:rsidRPr="000924BE">
        <w:tab/>
      </w:r>
      <w:r w:rsidRPr="000924BE">
        <w:rPr>
          <w:b/>
        </w:rPr>
        <w:t>Dejours, P.</w:t>
      </w:r>
      <w:r w:rsidRPr="000924BE">
        <w:t xml:space="preserve"> (1981). Principles of Camparative Respiratory Physiology. Amsterdam: Elseview-North Holland Biomedical Press.</w:t>
      </w:r>
    </w:p>
    <w:p w14:paraId="1FF95859" w14:textId="77777777" w:rsidR="000924BE" w:rsidRPr="000924BE" w:rsidRDefault="000924BE" w:rsidP="000924BE">
      <w:pPr>
        <w:pStyle w:val="EndNoteBibliography"/>
        <w:spacing w:after="0"/>
      </w:pPr>
      <w:r w:rsidRPr="000924BE">
        <w:tab/>
      </w:r>
      <w:r w:rsidRPr="000924BE">
        <w:rPr>
          <w:b/>
        </w:rPr>
        <w:t>Denoel, M., Mathieu, M. and Poncin, P.</w:t>
      </w:r>
      <w:r w:rsidRPr="000924BE">
        <w:t xml:space="preserve"> (2005). Effect of water temperature on the courtship behavior of the Alpine newt </w:t>
      </w:r>
      <w:r w:rsidRPr="000924BE">
        <w:rPr>
          <w:i/>
        </w:rPr>
        <w:t>Triturus alpestris</w:t>
      </w:r>
      <w:r w:rsidRPr="000924BE">
        <w:t xml:space="preserve">. </w:t>
      </w:r>
      <w:r w:rsidRPr="000924BE">
        <w:rPr>
          <w:i/>
        </w:rPr>
        <w:t>Behavioral Ecology and Sociobiology</w:t>
      </w:r>
      <w:r w:rsidRPr="000924BE">
        <w:t xml:space="preserve"> </w:t>
      </w:r>
      <w:r w:rsidRPr="000924BE">
        <w:rPr>
          <w:b/>
        </w:rPr>
        <w:t>58</w:t>
      </w:r>
      <w:r w:rsidRPr="000924BE">
        <w:t>, 121-127.</w:t>
      </w:r>
    </w:p>
    <w:p w14:paraId="2D3EAB23" w14:textId="77777777" w:rsidR="000924BE" w:rsidRPr="000924BE" w:rsidRDefault="000924BE" w:rsidP="000924BE">
      <w:pPr>
        <w:pStyle w:val="EndNoteBibliography"/>
        <w:spacing w:after="0"/>
      </w:pPr>
      <w:r w:rsidRPr="000924BE">
        <w:tab/>
      </w:r>
      <w:r w:rsidRPr="000924BE">
        <w:rPr>
          <w:b/>
        </w:rPr>
        <w:t>Feder, M. E. and Burggren, W. W.</w:t>
      </w:r>
      <w:r w:rsidRPr="000924BE">
        <w:t xml:space="preserve"> (1985). Cutaneous gas exchange in vertebrates: Design, patterns, control and implications. </w:t>
      </w:r>
      <w:r w:rsidRPr="000924BE">
        <w:rPr>
          <w:i/>
        </w:rPr>
        <w:t>Biological Reviews</w:t>
      </w:r>
      <w:r w:rsidRPr="000924BE">
        <w:t xml:space="preserve"> </w:t>
      </w:r>
      <w:r w:rsidRPr="000924BE">
        <w:rPr>
          <w:b/>
        </w:rPr>
        <w:t>60</w:t>
      </w:r>
      <w:r w:rsidRPr="000924BE">
        <w:t>, 1-45.</w:t>
      </w:r>
    </w:p>
    <w:p w14:paraId="724812ED" w14:textId="77777777" w:rsidR="000924BE" w:rsidRPr="000924BE" w:rsidRDefault="000924BE" w:rsidP="000924BE">
      <w:pPr>
        <w:pStyle w:val="EndNoteBibliography"/>
        <w:spacing w:after="0"/>
      </w:pPr>
      <w:r w:rsidRPr="000924BE">
        <w:tab/>
      </w:r>
      <w:r w:rsidRPr="000924BE">
        <w:rPr>
          <w:b/>
        </w:rPr>
        <w:t>FitzGibbon, S. I. and Franklin, C. E.</w:t>
      </w:r>
      <w:r w:rsidRPr="000924BE">
        <w:t xml:space="preserve"> (2010). The importance of the cloacal bursae as the primary site of aquatic respiration in the freshwater turtle, Elseya albagula. </w:t>
      </w:r>
      <w:r w:rsidRPr="000924BE">
        <w:rPr>
          <w:i/>
        </w:rPr>
        <w:t>Australian Zoologist</w:t>
      </w:r>
      <w:r w:rsidRPr="000924BE">
        <w:t xml:space="preserve"> </w:t>
      </w:r>
      <w:r w:rsidRPr="000924BE">
        <w:rPr>
          <w:b/>
        </w:rPr>
        <w:t>35</w:t>
      </w:r>
      <w:r w:rsidRPr="000924BE">
        <w:t>, 276-282.</w:t>
      </w:r>
    </w:p>
    <w:p w14:paraId="7983AED0" w14:textId="77777777" w:rsidR="000924BE" w:rsidRPr="000924BE" w:rsidRDefault="000924BE" w:rsidP="000924BE">
      <w:pPr>
        <w:pStyle w:val="EndNoteBibliography"/>
        <w:spacing w:after="0"/>
      </w:pPr>
      <w:r w:rsidRPr="000924BE">
        <w:tab/>
      </w:r>
      <w:r w:rsidRPr="000924BE">
        <w:rPr>
          <w:b/>
        </w:rPr>
        <w:t>Fuster, J. F., Pagés, T. and Palacios, L.</w:t>
      </w:r>
      <w:r w:rsidRPr="000924BE">
        <w:t xml:space="preserve"> (1997). Effect of temperature on oxygen stores during aerobic diving in the freshwater turtle Mauremys caspica leprosa. </w:t>
      </w:r>
      <w:r w:rsidRPr="000924BE">
        <w:rPr>
          <w:i/>
        </w:rPr>
        <w:t>Physiological Zoology</w:t>
      </w:r>
      <w:r w:rsidRPr="000924BE">
        <w:t xml:space="preserve"> </w:t>
      </w:r>
      <w:r w:rsidRPr="000924BE">
        <w:rPr>
          <w:b/>
        </w:rPr>
        <w:t>70</w:t>
      </w:r>
      <w:r w:rsidRPr="000924BE">
        <w:t>, 7-18.</w:t>
      </w:r>
    </w:p>
    <w:p w14:paraId="0C3947BB" w14:textId="77777777" w:rsidR="000924BE" w:rsidRPr="000924BE" w:rsidRDefault="000924BE" w:rsidP="000924BE">
      <w:pPr>
        <w:pStyle w:val="EndNoteBibliography"/>
        <w:spacing w:after="0"/>
      </w:pPr>
      <w:r w:rsidRPr="000924BE">
        <w:tab/>
      </w:r>
      <w:r w:rsidRPr="000924BE">
        <w:rPr>
          <w:b/>
        </w:rPr>
        <w:t>Glanville, E. J. and Seebacher, F.</w:t>
      </w:r>
      <w:r w:rsidRPr="000924BE">
        <w:t xml:space="preserve"> (2006). Compensation for environmental change by complementary shifts of thermal sensitivity and thermoregulatory behaviour in an ectotherm. </w:t>
      </w:r>
      <w:r w:rsidRPr="000924BE">
        <w:rPr>
          <w:i/>
        </w:rPr>
        <w:t>Journal of Experimental Biology</w:t>
      </w:r>
      <w:r w:rsidRPr="000924BE">
        <w:t xml:space="preserve"> </w:t>
      </w:r>
      <w:r w:rsidRPr="000924BE">
        <w:rPr>
          <w:b/>
        </w:rPr>
        <w:t>209</w:t>
      </w:r>
      <w:r w:rsidRPr="000924BE">
        <w:t>, 4869-4877.</w:t>
      </w:r>
    </w:p>
    <w:p w14:paraId="5EFE0A9C" w14:textId="77777777" w:rsidR="000924BE" w:rsidRPr="000924BE" w:rsidRDefault="000924BE" w:rsidP="000924BE">
      <w:pPr>
        <w:pStyle w:val="EndNoteBibliography"/>
        <w:spacing w:after="0"/>
      </w:pPr>
      <w:r w:rsidRPr="000924BE">
        <w:tab/>
      </w:r>
      <w:r w:rsidRPr="000924BE">
        <w:rPr>
          <w:b/>
        </w:rPr>
        <w:t>Gordos, M. and Franklin, C. E.</w:t>
      </w:r>
      <w:r w:rsidRPr="000924BE">
        <w:t xml:space="preserve"> (2002). Diving behaviour of two Australian bimodally respiring turtles, Rheodytes leukops and Emydura macquarii, in a natural setting. </w:t>
      </w:r>
      <w:r w:rsidRPr="000924BE">
        <w:rPr>
          <w:i/>
        </w:rPr>
        <w:t>Journal of Zoology</w:t>
      </w:r>
      <w:r w:rsidRPr="000924BE">
        <w:t xml:space="preserve"> </w:t>
      </w:r>
      <w:r w:rsidRPr="000924BE">
        <w:rPr>
          <w:b/>
        </w:rPr>
        <w:t>258</w:t>
      </w:r>
      <w:r w:rsidRPr="000924BE">
        <w:t>, 335-342.</w:t>
      </w:r>
    </w:p>
    <w:p w14:paraId="493E7254" w14:textId="77777777" w:rsidR="000924BE" w:rsidRPr="000924BE" w:rsidRDefault="000924BE" w:rsidP="000924BE">
      <w:pPr>
        <w:pStyle w:val="EndNoteBibliography"/>
        <w:spacing w:after="0"/>
      </w:pPr>
      <w:r w:rsidRPr="000924BE">
        <w:tab/>
      </w:r>
      <w:r w:rsidRPr="000924BE">
        <w:rPr>
          <w:b/>
        </w:rPr>
        <w:t>Gordos, M. A., Franklin, C. E. and Limpus, C. J.</w:t>
      </w:r>
      <w:r w:rsidRPr="000924BE">
        <w:t xml:space="preserve"> (2003). Seasonal changes in the diel surfacing behaviour of the bimodally respiring turtle Rheodytes leukops. </w:t>
      </w:r>
      <w:r w:rsidRPr="000924BE">
        <w:rPr>
          <w:i/>
        </w:rPr>
        <w:t>Canadian Journal of Zoology-Revue Canadienne De Zoologie</w:t>
      </w:r>
      <w:r w:rsidRPr="000924BE">
        <w:t xml:space="preserve"> </w:t>
      </w:r>
      <w:r w:rsidRPr="000924BE">
        <w:rPr>
          <w:b/>
        </w:rPr>
        <w:t>81</w:t>
      </w:r>
      <w:r w:rsidRPr="000924BE">
        <w:t>, 1614-1622.</w:t>
      </w:r>
    </w:p>
    <w:p w14:paraId="5C08EC4A" w14:textId="77777777" w:rsidR="000924BE" w:rsidRPr="000924BE" w:rsidRDefault="000924BE" w:rsidP="000924BE">
      <w:pPr>
        <w:pStyle w:val="EndNoteBibliography"/>
        <w:spacing w:after="0"/>
      </w:pPr>
      <w:r w:rsidRPr="000924BE">
        <w:tab/>
      </w:r>
      <w:r w:rsidRPr="000924BE">
        <w:rPr>
          <w:b/>
        </w:rPr>
        <w:t>Grigg, G. C. and Kirshner, D.</w:t>
      </w:r>
      <w:r w:rsidRPr="000924BE">
        <w:t xml:space="preserve"> (2015). Biology and evolution of crocodylians. . Clayton South, Australia: CSIRO Publishing.</w:t>
      </w:r>
    </w:p>
    <w:p w14:paraId="6D08AEC4" w14:textId="77777777" w:rsidR="000924BE" w:rsidRPr="000924BE" w:rsidRDefault="000924BE" w:rsidP="000924BE">
      <w:pPr>
        <w:pStyle w:val="EndNoteBibliography"/>
        <w:spacing w:after="0"/>
      </w:pPr>
      <w:r w:rsidRPr="000924BE">
        <w:tab/>
      </w:r>
      <w:r w:rsidRPr="000924BE">
        <w:rPr>
          <w:b/>
        </w:rPr>
        <w:t>Hadfield, J. D.</w:t>
      </w:r>
      <w:r w:rsidRPr="000924BE">
        <w:t xml:space="preserve"> (2010). MCMC Methods for Multi-Response Generalized Linear Mixed Models: The MCMCglmm R Package. </w:t>
      </w:r>
      <w:r w:rsidRPr="000924BE">
        <w:rPr>
          <w:i/>
        </w:rPr>
        <w:t>Journal of Statistical Software</w:t>
      </w:r>
      <w:r w:rsidRPr="000924BE">
        <w:t xml:space="preserve"> </w:t>
      </w:r>
      <w:r w:rsidRPr="000924BE">
        <w:rPr>
          <w:b/>
        </w:rPr>
        <w:t>33</w:t>
      </w:r>
      <w:r w:rsidRPr="000924BE">
        <w:t>, 1-22.</w:t>
      </w:r>
    </w:p>
    <w:p w14:paraId="41996F3A" w14:textId="77777777" w:rsidR="000924BE" w:rsidRPr="000924BE" w:rsidRDefault="000924BE" w:rsidP="000924BE">
      <w:pPr>
        <w:pStyle w:val="EndNoteBibliography"/>
        <w:spacing w:after="0"/>
      </w:pPr>
      <w:r w:rsidRPr="000924BE">
        <w:lastRenderedPageBreak/>
        <w:tab/>
      </w:r>
      <w:r w:rsidRPr="000924BE">
        <w:rPr>
          <w:b/>
        </w:rPr>
        <w:t>Hansen, T. F., Carter, A. J. R. and Pélabon, C.</w:t>
      </w:r>
      <w:r w:rsidRPr="000924BE">
        <w:t xml:space="preserve"> (2006). On adaptive accuracy and precision in natural populations. </w:t>
      </w:r>
      <w:r w:rsidRPr="000924BE">
        <w:rPr>
          <w:i/>
        </w:rPr>
        <w:t>The American Naturalist</w:t>
      </w:r>
      <w:r w:rsidRPr="000924BE">
        <w:t xml:space="preserve"> </w:t>
      </w:r>
      <w:r w:rsidRPr="000924BE">
        <w:rPr>
          <w:b/>
        </w:rPr>
        <w:t>168</w:t>
      </w:r>
      <w:r w:rsidRPr="000924BE">
        <w:t>, 168-181.</w:t>
      </w:r>
    </w:p>
    <w:p w14:paraId="24EA296D" w14:textId="77777777" w:rsidR="000924BE" w:rsidRPr="000924BE" w:rsidRDefault="000924BE" w:rsidP="000924BE">
      <w:pPr>
        <w:pStyle w:val="EndNoteBibliography"/>
        <w:spacing w:after="0"/>
      </w:pPr>
      <w:r w:rsidRPr="000924BE">
        <w:tab/>
      </w:r>
      <w:r w:rsidRPr="000924BE">
        <w:rPr>
          <w:b/>
        </w:rPr>
        <w:t>Hayward, A., Pajuelo, M., Haase, C. G., Anderson, D. M. and Gillooly, J. F.</w:t>
      </w:r>
      <w:r w:rsidRPr="000924BE">
        <w:t xml:space="preserve"> (2016). Common metabolic constraints on dive duration in endothermic and ectothermic vertebrates. </w:t>
      </w:r>
      <w:r w:rsidRPr="000924BE">
        <w:rPr>
          <w:i/>
        </w:rPr>
        <w:t>Peerj</w:t>
      </w:r>
      <w:r w:rsidRPr="000924BE">
        <w:t xml:space="preserve"> </w:t>
      </w:r>
      <w:r w:rsidRPr="000924BE">
        <w:rPr>
          <w:b/>
        </w:rPr>
        <w:t>4</w:t>
      </w:r>
      <w:r w:rsidRPr="000924BE">
        <w:t>, 9.</w:t>
      </w:r>
    </w:p>
    <w:p w14:paraId="3AD41540" w14:textId="77777777" w:rsidR="000924BE" w:rsidRPr="000924BE" w:rsidRDefault="000924BE" w:rsidP="000924BE">
      <w:pPr>
        <w:pStyle w:val="EndNoteBibliography"/>
        <w:spacing w:after="0"/>
      </w:pPr>
      <w:r w:rsidRPr="000924BE">
        <w:tab/>
      </w:r>
      <w:r w:rsidRPr="000924BE">
        <w:rPr>
          <w:b/>
        </w:rPr>
        <w:t>Hedges, S. B., Dudley, J. and Kumar, S.</w:t>
      </w:r>
      <w:r w:rsidRPr="000924BE">
        <w:t xml:space="preserve"> (2006). TimeTree: A public knowledge-base of divergence times among organisms. </w:t>
      </w:r>
      <w:r w:rsidRPr="000924BE">
        <w:rPr>
          <w:i/>
        </w:rPr>
        <w:t>Bioinformatics</w:t>
      </w:r>
      <w:r w:rsidRPr="000924BE">
        <w:t xml:space="preserve"> </w:t>
      </w:r>
      <w:r w:rsidRPr="000924BE">
        <w:rPr>
          <w:b/>
        </w:rPr>
        <w:t>22</w:t>
      </w:r>
      <w:r w:rsidRPr="000924BE">
        <w:t>, 2971-2972.</w:t>
      </w:r>
    </w:p>
    <w:p w14:paraId="12ED25E7" w14:textId="77777777" w:rsidR="000924BE" w:rsidRPr="000924BE" w:rsidRDefault="000924BE" w:rsidP="000924BE">
      <w:pPr>
        <w:pStyle w:val="EndNoteBibliography"/>
        <w:spacing w:after="0"/>
      </w:pPr>
      <w:r w:rsidRPr="000924BE">
        <w:tab/>
      </w:r>
      <w:r w:rsidRPr="000924BE">
        <w:rPr>
          <w:b/>
        </w:rPr>
        <w:t>Heithaus, M. R. and Dill, L. M.</w:t>
      </w:r>
      <w:r w:rsidRPr="000924BE">
        <w:t xml:space="preserve"> (2002). Food availability and predation risk influence bottlenose dolphin habitat use. </w:t>
      </w:r>
      <w:r w:rsidRPr="000924BE">
        <w:rPr>
          <w:i/>
        </w:rPr>
        <w:t>Ecology</w:t>
      </w:r>
      <w:r w:rsidRPr="000924BE">
        <w:t xml:space="preserve"> </w:t>
      </w:r>
      <w:r w:rsidRPr="000924BE">
        <w:rPr>
          <w:b/>
        </w:rPr>
        <w:t>83</w:t>
      </w:r>
      <w:r w:rsidRPr="000924BE">
        <w:t>, 480-491.</w:t>
      </w:r>
    </w:p>
    <w:p w14:paraId="0C3195BD" w14:textId="77777777" w:rsidR="000924BE" w:rsidRPr="000924BE" w:rsidRDefault="000924BE" w:rsidP="000924BE">
      <w:pPr>
        <w:pStyle w:val="EndNoteBibliography"/>
        <w:spacing w:after="0"/>
      </w:pPr>
      <w:r w:rsidRPr="000924BE">
        <w:tab/>
      </w:r>
      <w:r w:rsidRPr="000924BE">
        <w:rPr>
          <w:b/>
        </w:rPr>
        <w:t>Heithaus, M. R. and Dill, L. M.</w:t>
      </w:r>
      <w:r w:rsidRPr="000924BE">
        <w:t xml:space="preserve"> (2003). Optimal diving under the risk of predation. </w:t>
      </w:r>
      <w:r w:rsidRPr="000924BE">
        <w:rPr>
          <w:i/>
        </w:rPr>
        <w:t>Journal of Theoretical Biology</w:t>
      </w:r>
      <w:r w:rsidRPr="000924BE">
        <w:t xml:space="preserve"> </w:t>
      </w:r>
      <w:r w:rsidRPr="000924BE">
        <w:rPr>
          <w:b/>
        </w:rPr>
        <w:t>223</w:t>
      </w:r>
      <w:r w:rsidRPr="000924BE">
        <w:t>, 79-92.</w:t>
      </w:r>
    </w:p>
    <w:p w14:paraId="0BBCB220" w14:textId="77777777" w:rsidR="000924BE" w:rsidRPr="000924BE" w:rsidRDefault="000924BE" w:rsidP="000924BE">
      <w:pPr>
        <w:pStyle w:val="EndNoteBibliography"/>
        <w:spacing w:after="0"/>
      </w:pPr>
      <w:r w:rsidRPr="000924BE">
        <w:tab/>
      </w:r>
      <w:r w:rsidRPr="000924BE">
        <w:rPr>
          <w:b/>
        </w:rPr>
        <w:t>Heithaus, M. R., Dill, L. M., Marshall, G. J. and Buhleier, B. M.</w:t>
      </w:r>
      <w:r w:rsidRPr="000924BE">
        <w:t xml:space="preserve"> (2002). Habitat use and foraging behavior of tiger sharks (Galeocerdo cuvier) in a seagrass ecosystem. </w:t>
      </w:r>
      <w:r w:rsidRPr="000924BE">
        <w:rPr>
          <w:i/>
        </w:rPr>
        <w:t>Marine Biology</w:t>
      </w:r>
      <w:r w:rsidRPr="000924BE">
        <w:t xml:space="preserve"> </w:t>
      </w:r>
      <w:r w:rsidRPr="000924BE">
        <w:rPr>
          <w:b/>
        </w:rPr>
        <w:t>140</w:t>
      </w:r>
      <w:r w:rsidRPr="000924BE">
        <w:t>, 237-248.</w:t>
      </w:r>
    </w:p>
    <w:p w14:paraId="334ECA13" w14:textId="77777777" w:rsidR="000924BE" w:rsidRPr="000924BE" w:rsidRDefault="000924BE" w:rsidP="000924BE">
      <w:pPr>
        <w:pStyle w:val="EndNoteBibliography"/>
        <w:spacing w:after="0"/>
      </w:pPr>
      <w:r w:rsidRPr="000924BE">
        <w:tab/>
      </w:r>
      <w:r w:rsidRPr="000924BE">
        <w:rPr>
          <w:b/>
        </w:rPr>
        <w:t>Jackson, D. C.</w:t>
      </w:r>
      <w:r w:rsidRPr="000924BE">
        <w:t xml:space="preserve"> (2007). Temperature and hypoxia in ectothermic tetrapods. </w:t>
      </w:r>
      <w:r w:rsidRPr="000924BE">
        <w:rPr>
          <w:i/>
        </w:rPr>
        <w:t>Journal of Thermal Biology</w:t>
      </w:r>
      <w:r w:rsidRPr="000924BE">
        <w:t xml:space="preserve"> </w:t>
      </w:r>
      <w:r w:rsidRPr="000924BE">
        <w:rPr>
          <w:b/>
        </w:rPr>
        <w:t>32</w:t>
      </w:r>
      <w:r w:rsidRPr="000924BE">
        <w:t>, 125-133.</w:t>
      </w:r>
    </w:p>
    <w:p w14:paraId="6E16B0E4" w14:textId="77777777" w:rsidR="000924BE" w:rsidRPr="000924BE" w:rsidRDefault="000924BE" w:rsidP="000924BE">
      <w:pPr>
        <w:pStyle w:val="EndNoteBibliography"/>
        <w:spacing w:after="0"/>
      </w:pPr>
      <w:r w:rsidRPr="000924BE">
        <w:tab/>
      </w:r>
      <w:r w:rsidRPr="000924BE">
        <w:rPr>
          <w:b/>
        </w:rPr>
        <w:t>Kawecki, T. J.</w:t>
      </w:r>
      <w:r w:rsidRPr="000924BE">
        <w:t xml:space="preserve"> (2000). The evolution of canalization under fluctuating selection. </w:t>
      </w:r>
      <w:r w:rsidRPr="000924BE">
        <w:rPr>
          <w:i/>
        </w:rPr>
        <w:t>Evolution</w:t>
      </w:r>
      <w:r w:rsidRPr="000924BE">
        <w:t xml:space="preserve"> </w:t>
      </w:r>
      <w:r w:rsidRPr="000924BE">
        <w:rPr>
          <w:b/>
        </w:rPr>
        <w:t>54</w:t>
      </w:r>
      <w:r w:rsidRPr="000924BE">
        <w:t>, 1-12.</w:t>
      </w:r>
    </w:p>
    <w:p w14:paraId="35B3AC61" w14:textId="77777777" w:rsidR="000924BE" w:rsidRPr="000924BE" w:rsidRDefault="000924BE" w:rsidP="000924BE">
      <w:pPr>
        <w:pStyle w:val="EndNoteBibliography"/>
        <w:spacing w:after="0"/>
      </w:pPr>
      <w:r w:rsidRPr="000924BE">
        <w:tab/>
      </w:r>
      <w:r w:rsidRPr="000924BE">
        <w:rPr>
          <w:b/>
        </w:rPr>
        <w:t>Keen, A. N., Jordan, M. K., Holly, S. A. and Gillis, T. E.</w:t>
      </w:r>
      <w:r w:rsidRPr="000924BE">
        <w:t xml:space="preserve"> (2017). Temperature-induced cardiac remodelling in fish. </w:t>
      </w:r>
      <w:r w:rsidRPr="000924BE">
        <w:rPr>
          <w:i/>
        </w:rPr>
        <w:t>Journal of Experimental Biology</w:t>
      </w:r>
      <w:r w:rsidRPr="000924BE">
        <w:t xml:space="preserve"> </w:t>
      </w:r>
      <w:r w:rsidRPr="000924BE">
        <w:rPr>
          <w:b/>
        </w:rPr>
        <w:t>220</w:t>
      </w:r>
      <w:r w:rsidRPr="000924BE">
        <w:t>, 147-160.</w:t>
      </w:r>
    </w:p>
    <w:p w14:paraId="27EE1D82" w14:textId="77777777" w:rsidR="000924BE" w:rsidRPr="000924BE" w:rsidRDefault="000924BE" w:rsidP="000924BE">
      <w:pPr>
        <w:pStyle w:val="EndNoteBibliography"/>
        <w:spacing w:after="0"/>
      </w:pPr>
      <w:r w:rsidRPr="000924BE">
        <w:tab/>
      </w:r>
      <w:r w:rsidRPr="000924BE">
        <w:rPr>
          <w:b/>
        </w:rPr>
        <w:t>Lajeunesse, M. J.</w:t>
      </w:r>
      <w:r w:rsidRPr="000924BE">
        <w:t xml:space="preserve"> (2011). On the meta-analysis of response ratios for studies with correlatedand multi-group designs. </w:t>
      </w:r>
      <w:r w:rsidRPr="000924BE">
        <w:rPr>
          <w:i/>
        </w:rPr>
        <w:t>Ecology</w:t>
      </w:r>
      <w:r w:rsidRPr="000924BE">
        <w:t xml:space="preserve"> </w:t>
      </w:r>
      <w:r w:rsidRPr="000924BE">
        <w:rPr>
          <w:b/>
        </w:rPr>
        <w:t>92</w:t>
      </w:r>
      <w:r w:rsidRPr="000924BE">
        <w:t>, 2049-2055.</w:t>
      </w:r>
    </w:p>
    <w:p w14:paraId="3A3538DF" w14:textId="77777777" w:rsidR="000924BE" w:rsidRPr="000924BE" w:rsidRDefault="000924BE" w:rsidP="000924BE">
      <w:pPr>
        <w:pStyle w:val="EndNoteBibliography"/>
        <w:spacing w:after="0"/>
      </w:pPr>
      <w:r w:rsidRPr="000924BE">
        <w:tab/>
      </w:r>
      <w:r w:rsidRPr="000924BE">
        <w:rPr>
          <w:b/>
        </w:rPr>
        <w:t>Lajeunesse, M. J.</w:t>
      </w:r>
      <w:r w:rsidRPr="000924BE">
        <w:t xml:space="preserve"> (2015). Bias and correction for the log-response ratio in ecological meta-analysis. </w:t>
      </w:r>
      <w:r w:rsidRPr="000924BE">
        <w:rPr>
          <w:i/>
        </w:rPr>
        <w:t>Ecology</w:t>
      </w:r>
      <w:r w:rsidRPr="000924BE">
        <w:t xml:space="preserve"> </w:t>
      </w:r>
      <w:r w:rsidRPr="000924BE">
        <w:rPr>
          <w:b/>
        </w:rPr>
        <w:t>96</w:t>
      </w:r>
      <w:r w:rsidRPr="000924BE">
        <w:t>, 2056-2063.</w:t>
      </w:r>
    </w:p>
    <w:p w14:paraId="1DC2598D" w14:textId="77777777" w:rsidR="000924BE" w:rsidRPr="000924BE" w:rsidRDefault="000924BE" w:rsidP="000924BE">
      <w:pPr>
        <w:pStyle w:val="EndNoteBibliography"/>
        <w:spacing w:after="0"/>
      </w:pPr>
      <w:r w:rsidRPr="000924BE">
        <w:tab/>
      </w:r>
      <w:r w:rsidRPr="000924BE">
        <w:rPr>
          <w:b/>
        </w:rPr>
        <w:t>Maina, J. N.</w:t>
      </w:r>
      <w:r w:rsidRPr="000924BE">
        <w:t xml:space="preserve"> (2002). Structure, function and evolution of the gas exchangers: comparative perspectives. </w:t>
      </w:r>
      <w:r w:rsidRPr="000924BE">
        <w:rPr>
          <w:i/>
        </w:rPr>
        <w:t>Journal of Anatomy</w:t>
      </w:r>
      <w:r w:rsidRPr="000924BE">
        <w:t xml:space="preserve"> </w:t>
      </w:r>
      <w:r w:rsidRPr="000924BE">
        <w:rPr>
          <w:b/>
        </w:rPr>
        <w:t>201</w:t>
      </w:r>
      <w:r w:rsidRPr="000924BE">
        <w:t>, 281-304.</w:t>
      </w:r>
    </w:p>
    <w:p w14:paraId="18668C14" w14:textId="77777777" w:rsidR="000924BE" w:rsidRPr="000924BE" w:rsidRDefault="000924BE" w:rsidP="000924BE">
      <w:pPr>
        <w:pStyle w:val="EndNoteBibliography"/>
        <w:spacing w:after="0"/>
      </w:pPr>
      <w:r w:rsidRPr="000924BE">
        <w:tab/>
      </w:r>
      <w:r w:rsidRPr="000924BE">
        <w:rPr>
          <w:b/>
        </w:rPr>
        <w:t>Mathie, N. J. and Franklin, C. E.</w:t>
      </w:r>
      <w:r w:rsidRPr="000924BE">
        <w:t xml:space="preserve"> (2006). The influence of body size on the diving behaviour and physiology of the bimodally respiring turtle, Elseya albagula. </w:t>
      </w:r>
      <w:r w:rsidRPr="000924BE">
        <w:rPr>
          <w:i/>
        </w:rPr>
        <w:t>Journal of Comparative Physiology B-Biochemical Systemic and Environmental Physiology</w:t>
      </w:r>
      <w:r w:rsidRPr="000924BE">
        <w:t xml:space="preserve"> </w:t>
      </w:r>
      <w:r w:rsidRPr="000924BE">
        <w:rPr>
          <w:b/>
        </w:rPr>
        <w:t>176</w:t>
      </w:r>
      <w:r w:rsidRPr="000924BE">
        <w:t>, 739-747.</w:t>
      </w:r>
    </w:p>
    <w:p w14:paraId="5ACD2E35" w14:textId="77777777" w:rsidR="000924BE" w:rsidRPr="000924BE" w:rsidRDefault="000924BE" w:rsidP="000924BE">
      <w:pPr>
        <w:pStyle w:val="EndNoteBibliography"/>
        <w:spacing w:after="0"/>
      </w:pPr>
      <w:r w:rsidRPr="000924BE">
        <w:tab/>
      </w:r>
      <w:r w:rsidRPr="000924BE">
        <w:rPr>
          <w:b/>
        </w:rPr>
        <w:t>Nakagawa, S., Poulin, R., Mengersen, K., Reinhold, K., Engqvist, L., Lagisz, M. and Senior, A. M.</w:t>
      </w:r>
      <w:r w:rsidRPr="000924BE">
        <w:t xml:space="preserve"> (2015). Meta-analysis of variation: Ecological and evolutionary applications and beyond. </w:t>
      </w:r>
      <w:r w:rsidRPr="000924BE">
        <w:rPr>
          <w:i/>
        </w:rPr>
        <w:t>Methods in Ecology and Evolution</w:t>
      </w:r>
      <w:r w:rsidRPr="000924BE">
        <w:t xml:space="preserve"> </w:t>
      </w:r>
      <w:r w:rsidRPr="000924BE">
        <w:rPr>
          <w:b/>
        </w:rPr>
        <w:t>6</w:t>
      </w:r>
      <w:r w:rsidRPr="000924BE">
        <w:t>, 143-152.</w:t>
      </w:r>
    </w:p>
    <w:p w14:paraId="5DE1B475" w14:textId="77777777" w:rsidR="000924BE" w:rsidRPr="000924BE" w:rsidRDefault="000924BE" w:rsidP="000924BE">
      <w:pPr>
        <w:pStyle w:val="EndNoteBibliography"/>
      </w:pPr>
      <w:r w:rsidRPr="000924BE">
        <w:tab/>
      </w:r>
      <w:r w:rsidRPr="000924BE">
        <w:rPr>
          <w:b/>
        </w:rPr>
        <w:t>O'Dea, R. E., Lagisz, M., Hendry, A. P. and Nakagawa, S.</w:t>
      </w:r>
      <w:r w:rsidRPr="000924BE">
        <w:t xml:space="preserve"> (2018). Developmental temperature affects phenotypic means and</w:t>
      </w:r>
    </w:p>
    <w:p w14:paraId="1DACD9EB" w14:textId="77777777" w:rsidR="000924BE" w:rsidRPr="000924BE" w:rsidRDefault="000924BE" w:rsidP="000924BE">
      <w:pPr>
        <w:pStyle w:val="EndNoteBibliography"/>
        <w:spacing w:after="0"/>
      </w:pPr>
      <w:r w:rsidRPr="000924BE">
        <w:t xml:space="preserve">variability: A meta‐analysis of fish data. </w:t>
      </w:r>
      <w:r w:rsidRPr="000924BE">
        <w:rPr>
          <w:i/>
        </w:rPr>
        <w:t>Fish and Fisheries</w:t>
      </w:r>
      <w:r w:rsidRPr="000924BE">
        <w:t xml:space="preserve"> </w:t>
      </w:r>
      <w:r w:rsidRPr="000924BE">
        <w:rPr>
          <w:b/>
        </w:rPr>
        <w:t>20</w:t>
      </w:r>
      <w:r w:rsidRPr="000924BE">
        <w:t>, 1005-1022.</w:t>
      </w:r>
    </w:p>
    <w:p w14:paraId="1064FA89" w14:textId="77777777" w:rsidR="000924BE" w:rsidRPr="000924BE" w:rsidRDefault="000924BE" w:rsidP="000924BE">
      <w:pPr>
        <w:pStyle w:val="EndNoteBibliography"/>
        <w:spacing w:after="0"/>
      </w:pPr>
      <w:r w:rsidRPr="000924BE">
        <w:tab/>
      </w:r>
      <w:r w:rsidRPr="000924BE">
        <w:rPr>
          <w:b/>
        </w:rPr>
        <w:t>Ouzzani, M., Hammady, H., Fedorowicz, Z. and Elmagarmid, A.</w:t>
      </w:r>
      <w:r w:rsidRPr="000924BE">
        <w:t xml:space="preserve"> (2016). Rayyan — a web and mobile app for systematic reviews. </w:t>
      </w:r>
      <w:r w:rsidRPr="000924BE">
        <w:rPr>
          <w:i/>
        </w:rPr>
        <w:t>Systematic Reviews</w:t>
      </w:r>
      <w:r w:rsidRPr="000924BE">
        <w:t xml:space="preserve"> </w:t>
      </w:r>
      <w:r w:rsidRPr="000924BE">
        <w:rPr>
          <w:b/>
        </w:rPr>
        <w:t>5</w:t>
      </w:r>
      <w:r w:rsidRPr="000924BE">
        <w:t>, 210.</w:t>
      </w:r>
    </w:p>
    <w:p w14:paraId="591800C9" w14:textId="77777777" w:rsidR="000924BE" w:rsidRPr="000924BE" w:rsidRDefault="000924BE" w:rsidP="000924BE">
      <w:pPr>
        <w:pStyle w:val="EndNoteBibliography"/>
        <w:spacing w:after="0"/>
      </w:pPr>
      <w:r w:rsidRPr="000924BE">
        <w:tab/>
      </w:r>
      <w:r w:rsidRPr="000924BE">
        <w:rPr>
          <w:b/>
        </w:rPr>
        <w:t>Penney, D. G.</w:t>
      </w:r>
      <w:r w:rsidRPr="000924BE">
        <w:t xml:space="preserve"> (1987). Frogs and turtles: Different ectotherm overwintering strategies. </w:t>
      </w:r>
      <w:r w:rsidRPr="000924BE">
        <w:rPr>
          <w:i/>
        </w:rPr>
        <w:t>Comparative Biochemistry &amp; Physiology Part A: Molecular and Integrative Physiology</w:t>
      </w:r>
      <w:r w:rsidRPr="000924BE">
        <w:t xml:space="preserve"> </w:t>
      </w:r>
      <w:r w:rsidRPr="000924BE">
        <w:rPr>
          <w:b/>
        </w:rPr>
        <w:t>86</w:t>
      </w:r>
      <w:r w:rsidRPr="000924BE">
        <w:t>, 609-615.</w:t>
      </w:r>
    </w:p>
    <w:p w14:paraId="31CD9D84" w14:textId="77777777" w:rsidR="000924BE" w:rsidRPr="000924BE" w:rsidRDefault="000924BE" w:rsidP="000924BE">
      <w:pPr>
        <w:pStyle w:val="EndNoteBibliography"/>
        <w:spacing w:after="0"/>
      </w:pPr>
      <w:r w:rsidRPr="000924BE">
        <w:tab/>
      </w:r>
      <w:r w:rsidRPr="000924BE">
        <w:rPr>
          <w:b/>
        </w:rPr>
        <w:t>Pick, J. L., Nakagawa, S. and Noble, D. W. A.</w:t>
      </w:r>
      <w:r w:rsidRPr="000924BE">
        <w:t xml:space="preserve"> (2018). Reproducible, flexible and high-throughput data extraction from primary literature: The metaDigitise R package. </w:t>
      </w:r>
      <w:r w:rsidRPr="000924BE">
        <w:rPr>
          <w:i/>
        </w:rPr>
        <w:t>Methods in Ecology and Evolution</w:t>
      </w:r>
      <w:r w:rsidRPr="000924BE">
        <w:t xml:space="preserve"> </w:t>
      </w:r>
      <w:r w:rsidRPr="000924BE">
        <w:rPr>
          <w:b/>
        </w:rPr>
        <w:t>10</w:t>
      </w:r>
      <w:r w:rsidRPr="000924BE">
        <w:t>, 426-431.</w:t>
      </w:r>
    </w:p>
    <w:p w14:paraId="299087A8" w14:textId="77777777" w:rsidR="000924BE" w:rsidRPr="000924BE" w:rsidRDefault="000924BE" w:rsidP="000924BE">
      <w:pPr>
        <w:pStyle w:val="EndNoteBibliography"/>
        <w:spacing w:after="0"/>
      </w:pPr>
      <w:r w:rsidRPr="000924BE">
        <w:tab/>
      </w:r>
      <w:r w:rsidRPr="000924BE">
        <w:rPr>
          <w:b/>
        </w:rPr>
        <w:t>Podrabsky, J. E. and Somero, G. N.</w:t>
      </w:r>
      <w:r w:rsidRPr="000924BE">
        <w:t xml:space="preserve"> (2004). Changes in gene expression associated with acclimation to constant temperatures and fluctuating daily temperatures in an annual killifish Austrofundulus limnaeus. </w:t>
      </w:r>
      <w:r w:rsidRPr="000924BE">
        <w:rPr>
          <w:i/>
        </w:rPr>
        <w:t>Journal of Experimental Biology</w:t>
      </w:r>
      <w:r w:rsidRPr="000924BE">
        <w:t xml:space="preserve"> </w:t>
      </w:r>
      <w:r w:rsidRPr="000924BE">
        <w:rPr>
          <w:b/>
        </w:rPr>
        <w:t>207</w:t>
      </w:r>
      <w:r w:rsidRPr="000924BE">
        <w:t>, 2237-2254.</w:t>
      </w:r>
    </w:p>
    <w:p w14:paraId="52F47EF2" w14:textId="77777777" w:rsidR="000924BE" w:rsidRPr="000924BE" w:rsidRDefault="000924BE" w:rsidP="000924BE">
      <w:pPr>
        <w:pStyle w:val="EndNoteBibliography"/>
        <w:spacing w:after="0"/>
      </w:pPr>
      <w:r w:rsidRPr="000924BE">
        <w:lastRenderedPageBreak/>
        <w:tab/>
      </w:r>
      <w:r w:rsidRPr="000924BE">
        <w:rPr>
          <w:b/>
        </w:rPr>
        <w:t>Prassack, S. L., Bagatto, B. and Henry, R. P.</w:t>
      </w:r>
      <w:r w:rsidRPr="000924BE">
        <w:t xml:space="preserve"> (2001). Effects of temperature and aquatic Po-2 on the physiology and behaviour of Apalone ferox and Chrysemys picta. </w:t>
      </w:r>
      <w:r w:rsidRPr="000924BE">
        <w:rPr>
          <w:i/>
        </w:rPr>
        <w:t>Journal of Experimental Biology</w:t>
      </w:r>
      <w:r w:rsidRPr="000924BE">
        <w:t xml:space="preserve"> </w:t>
      </w:r>
      <w:r w:rsidRPr="000924BE">
        <w:rPr>
          <w:b/>
        </w:rPr>
        <w:t>204</w:t>
      </w:r>
      <w:r w:rsidRPr="000924BE">
        <w:t>, 2185-2195.</w:t>
      </w:r>
    </w:p>
    <w:p w14:paraId="4B62EA4C" w14:textId="77777777" w:rsidR="000924BE" w:rsidRPr="000924BE" w:rsidRDefault="000924BE" w:rsidP="000924BE">
      <w:pPr>
        <w:pStyle w:val="EndNoteBibliography"/>
        <w:spacing w:after="0"/>
      </w:pPr>
      <w:r w:rsidRPr="000924BE">
        <w:tab/>
      </w:r>
      <w:r w:rsidRPr="000924BE">
        <w:rPr>
          <w:b/>
        </w:rPr>
        <w:t>Pratt, K. L. and Franklin, C. E.</w:t>
      </w:r>
      <w:r w:rsidRPr="000924BE">
        <w:t xml:space="preserve"> (2010). Temperature independence of aquatic oxygen uptake in an air-breathing ectotherm and the implications for dive duration. </w:t>
      </w:r>
      <w:r w:rsidRPr="000924BE">
        <w:rPr>
          <w:i/>
        </w:rPr>
        <w:t>Comparative Biochemistry and Physiology a-Molecular &amp; Integrative Physiology</w:t>
      </w:r>
      <w:r w:rsidRPr="000924BE">
        <w:t xml:space="preserve"> </w:t>
      </w:r>
      <w:r w:rsidRPr="000924BE">
        <w:rPr>
          <w:b/>
        </w:rPr>
        <w:t>156</w:t>
      </w:r>
      <w:r w:rsidRPr="000924BE">
        <w:t>, 42-45.</w:t>
      </w:r>
    </w:p>
    <w:p w14:paraId="37047F62" w14:textId="77777777" w:rsidR="000924BE" w:rsidRPr="000924BE" w:rsidRDefault="000924BE" w:rsidP="000924BE">
      <w:pPr>
        <w:pStyle w:val="EndNoteBibliography"/>
        <w:spacing w:after="0"/>
      </w:pPr>
      <w:r w:rsidRPr="000924BE">
        <w:tab/>
      </w:r>
      <w:r w:rsidRPr="000924BE">
        <w:rPr>
          <w:b/>
        </w:rPr>
        <w:t>Rodgers, E. M. and Franklin, C. E.</w:t>
      </w:r>
      <w:r w:rsidRPr="000924BE">
        <w:t xml:space="preserve"> (2017). Physiological mechanisms constraining ectotherm fright-dive performance at elevated temperatures. </w:t>
      </w:r>
      <w:r w:rsidRPr="000924BE">
        <w:rPr>
          <w:i/>
        </w:rPr>
        <w:t>Journal of Experimental Biology</w:t>
      </w:r>
      <w:r w:rsidRPr="000924BE">
        <w:t xml:space="preserve"> </w:t>
      </w:r>
      <w:r w:rsidRPr="000924BE">
        <w:rPr>
          <w:b/>
        </w:rPr>
        <w:t>220</w:t>
      </w:r>
      <w:r w:rsidRPr="000924BE">
        <w:t>, 3556-3564.</w:t>
      </w:r>
    </w:p>
    <w:p w14:paraId="3FF22CA2" w14:textId="77777777" w:rsidR="000924BE" w:rsidRPr="000924BE" w:rsidRDefault="000924BE" w:rsidP="000924BE">
      <w:pPr>
        <w:pStyle w:val="EndNoteBibliography"/>
        <w:spacing w:after="0"/>
      </w:pPr>
      <w:r w:rsidRPr="000924BE">
        <w:tab/>
      </w:r>
      <w:r w:rsidRPr="000924BE">
        <w:rPr>
          <w:b/>
        </w:rPr>
        <w:t>Rodgers, E. M., Schwartz, J. J. and Franklin, C. E.</w:t>
      </w:r>
      <w:r w:rsidRPr="000924BE">
        <w:t xml:space="preserve"> (2015). Diving in a warming world: the thermal sensitivity and plasticity of diving performance in juvenile estuarine crocodiles (Crocodylus porosus). </w:t>
      </w:r>
      <w:r w:rsidRPr="000924BE">
        <w:rPr>
          <w:i/>
        </w:rPr>
        <w:t>Conservation Physiology</w:t>
      </w:r>
      <w:r w:rsidRPr="000924BE">
        <w:t xml:space="preserve"> </w:t>
      </w:r>
      <w:r w:rsidRPr="000924BE">
        <w:rPr>
          <w:b/>
        </w:rPr>
        <w:t>3</w:t>
      </w:r>
      <w:r w:rsidRPr="000924BE">
        <w:t>, 9.</w:t>
      </w:r>
    </w:p>
    <w:p w14:paraId="4D130ED6" w14:textId="77777777" w:rsidR="000924BE" w:rsidRPr="000924BE" w:rsidRDefault="000924BE" w:rsidP="000924BE">
      <w:pPr>
        <w:pStyle w:val="EndNoteBibliography"/>
        <w:spacing w:after="0"/>
      </w:pPr>
      <w:r w:rsidRPr="000924BE">
        <w:tab/>
      </w:r>
      <w:r w:rsidRPr="000924BE">
        <w:rPr>
          <w:b/>
        </w:rPr>
        <w:t>Seebacher, F., White, C. R. and Franklin, C. E.</w:t>
      </w:r>
      <w:r w:rsidRPr="000924BE">
        <w:t xml:space="preserve"> (2015). Physiological plasticity increases resilience of ectothermic animals to climate change. </w:t>
      </w:r>
      <w:r w:rsidRPr="000924BE">
        <w:rPr>
          <w:i/>
        </w:rPr>
        <w:t>Nature Climate Change</w:t>
      </w:r>
      <w:r w:rsidRPr="000924BE">
        <w:t xml:space="preserve"> </w:t>
      </w:r>
      <w:r w:rsidRPr="000924BE">
        <w:rPr>
          <w:b/>
        </w:rPr>
        <w:t>5</w:t>
      </w:r>
      <w:r w:rsidRPr="000924BE">
        <w:t>, 61-66.</w:t>
      </w:r>
    </w:p>
    <w:p w14:paraId="07274736" w14:textId="77777777" w:rsidR="000924BE" w:rsidRPr="000924BE" w:rsidRDefault="000924BE" w:rsidP="000924BE">
      <w:pPr>
        <w:pStyle w:val="EndNoteBibliography"/>
        <w:spacing w:after="0"/>
      </w:pPr>
      <w:r w:rsidRPr="000924BE">
        <w:tab/>
      </w:r>
      <w:r w:rsidRPr="000924BE">
        <w:rPr>
          <w:b/>
        </w:rPr>
        <w:t xml:space="preserve">Seymour, R. S. </w:t>
      </w:r>
      <w:r w:rsidRPr="000924BE">
        <w:t xml:space="preserve">(1982). Physiological adaptations to aquatic life. In </w:t>
      </w:r>
      <w:r w:rsidRPr="000924BE">
        <w:rPr>
          <w:i/>
        </w:rPr>
        <w:t>Biology of the Reptilia, Physiological Ecology</w:t>
      </w:r>
      <w:r w:rsidRPr="000924BE">
        <w:t>, vol. 13 eds. C. Gans and F. H. Pough), pp. 1-51: Academic Press.</w:t>
      </w:r>
    </w:p>
    <w:p w14:paraId="71DB6962" w14:textId="77777777" w:rsidR="000924BE" w:rsidRPr="000924BE" w:rsidRDefault="000924BE" w:rsidP="000924BE">
      <w:pPr>
        <w:pStyle w:val="EndNoteBibliography"/>
        <w:spacing w:after="0"/>
      </w:pPr>
      <w:r w:rsidRPr="000924BE">
        <w:tab/>
      </w:r>
      <w:r w:rsidRPr="000924BE">
        <w:rPr>
          <w:b/>
        </w:rPr>
        <w:t>Shuman, J. L. and J., C. D.</w:t>
      </w:r>
      <w:r w:rsidRPr="000924BE">
        <w:t xml:space="preserve"> (2018). Red muscle function and thermal acclimation to cold in rainbow smelt, Osmerus mordax, and rainbow trout, Oncorhynchus mykiss. </w:t>
      </w:r>
      <w:r w:rsidRPr="000924BE">
        <w:rPr>
          <w:i/>
        </w:rPr>
        <w:t>Journal of Experimenta Zoology Part A</w:t>
      </w:r>
      <w:r w:rsidRPr="000924BE">
        <w:t xml:space="preserve"> </w:t>
      </w:r>
      <w:r w:rsidRPr="000924BE">
        <w:rPr>
          <w:b/>
        </w:rPr>
        <w:t>329</w:t>
      </w:r>
      <w:r w:rsidRPr="000924BE">
        <w:t>, 547-556.</w:t>
      </w:r>
    </w:p>
    <w:p w14:paraId="7CABBDC9" w14:textId="77777777" w:rsidR="000924BE" w:rsidRPr="000924BE" w:rsidRDefault="000924BE" w:rsidP="000924BE">
      <w:pPr>
        <w:pStyle w:val="EndNoteBibliography"/>
        <w:spacing w:after="0"/>
      </w:pPr>
      <w:r w:rsidRPr="000924BE">
        <w:tab/>
      </w:r>
      <w:r w:rsidRPr="000924BE">
        <w:rPr>
          <w:b/>
        </w:rPr>
        <w:t>Southwood, A. L., Andrews, R. D., Paladino, F. V. and Jones, D. R.</w:t>
      </w:r>
      <w:r w:rsidRPr="000924BE">
        <w:t xml:space="preserve"> (2005). Effects of diving and swimming behavior on body temperatures of Pacific leatherback turtles in tropical seas. </w:t>
      </w:r>
      <w:r w:rsidRPr="000924BE">
        <w:rPr>
          <w:i/>
        </w:rPr>
        <w:t>Physiological and Biochemical Zoology</w:t>
      </w:r>
      <w:r w:rsidRPr="000924BE">
        <w:t xml:space="preserve"> </w:t>
      </w:r>
      <w:r w:rsidRPr="000924BE">
        <w:rPr>
          <w:b/>
        </w:rPr>
        <w:t>78</w:t>
      </w:r>
      <w:r w:rsidRPr="000924BE">
        <w:t>, 285-297.</w:t>
      </w:r>
    </w:p>
    <w:p w14:paraId="436FEC07" w14:textId="77777777" w:rsidR="000924BE" w:rsidRPr="000924BE" w:rsidRDefault="000924BE" w:rsidP="000924BE">
      <w:pPr>
        <w:pStyle w:val="EndNoteBibliography"/>
        <w:spacing w:after="0"/>
      </w:pPr>
      <w:r w:rsidRPr="000924BE">
        <w:tab/>
      </w:r>
      <w:r w:rsidRPr="000924BE">
        <w:rPr>
          <w:b/>
        </w:rPr>
        <w:t>Storey, E. M., Kayes, S. M., De Vries, I. and Franklin, C. E.</w:t>
      </w:r>
      <w:r w:rsidRPr="000924BE">
        <w:t xml:space="preserve"> (2008). Effect of water depth, velocity and temperature on the surfacing frequency of the bimodally respiring turtle Elseya albagula. </w:t>
      </w:r>
      <w:r w:rsidRPr="000924BE">
        <w:rPr>
          <w:i/>
        </w:rPr>
        <w:t>Functional Ecology</w:t>
      </w:r>
      <w:r w:rsidRPr="000924BE">
        <w:t xml:space="preserve"> </w:t>
      </w:r>
      <w:r w:rsidRPr="000924BE">
        <w:rPr>
          <w:b/>
        </w:rPr>
        <w:t>22</w:t>
      </w:r>
      <w:r w:rsidRPr="000924BE">
        <w:t>, 840-846.</w:t>
      </w:r>
    </w:p>
    <w:p w14:paraId="59525C74" w14:textId="77777777" w:rsidR="000924BE" w:rsidRPr="000924BE" w:rsidRDefault="000924BE" w:rsidP="000924BE">
      <w:pPr>
        <w:pStyle w:val="EndNoteBibliography"/>
        <w:spacing w:after="0"/>
      </w:pPr>
      <w:r w:rsidRPr="000924BE">
        <w:tab/>
      </w:r>
      <w:r w:rsidRPr="000924BE">
        <w:rPr>
          <w:b/>
        </w:rPr>
        <w:t>Tucker, A. D., Limpus, C. J., Priest, T. E., Cay, J., Glen, C. and Guarino, E.</w:t>
      </w:r>
      <w:r w:rsidRPr="000924BE">
        <w:t xml:space="preserve"> (2001). Home ranges of Fitzroy River turtles (Rheodytes leukops) overlap riffle zones: potential concerns related to river regulation. </w:t>
      </w:r>
      <w:r w:rsidRPr="000924BE">
        <w:rPr>
          <w:i/>
        </w:rPr>
        <w:t>Biological Conservation</w:t>
      </w:r>
      <w:r w:rsidRPr="000924BE">
        <w:t xml:space="preserve"> </w:t>
      </w:r>
      <w:r w:rsidRPr="000924BE">
        <w:rPr>
          <w:b/>
        </w:rPr>
        <w:t>102</w:t>
      </w:r>
      <w:r w:rsidRPr="000924BE">
        <w:t>, 171-181.</w:t>
      </w:r>
    </w:p>
    <w:p w14:paraId="5560E406" w14:textId="77777777" w:rsidR="000924BE" w:rsidRPr="000924BE" w:rsidRDefault="000924BE" w:rsidP="000924BE">
      <w:pPr>
        <w:pStyle w:val="EndNoteBibliography"/>
        <w:spacing w:after="0"/>
      </w:pPr>
      <w:r w:rsidRPr="000924BE">
        <w:tab/>
      </w:r>
      <w:r w:rsidRPr="000924BE">
        <w:rPr>
          <w:b/>
        </w:rPr>
        <w:t>Udyawer, V., Simpfendorfer, C. A., Heupel, M. R. and Clark, T. D.</w:t>
      </w:r>
      <w:r w:rsidRPr="000924BE">
        <w:t xml:space="preserve"> (2016). Coming up for air: thermal dependence of dive behaviours and metabolism in sea snakes. </w:t>
      </w:r>
      <w:r w:rsidRPr="000924BE">
        <w:rPr>
          <w:i/>
        </w:rPr>
        <w:t>Journal of Experimental Biology</w:t>
      </w:r>
      <w:r w:rsidRPr="000924BE">
        <w:t xml:space="preserve"> </w:t>
      </w:r>
      <w:r w:rsidRPr="000924BE">
        <w:rPr>
          <w:b/>
        </w:rPr>
        <w:t>219</w:t>
      </w:r>
      <w:r w:rsidRPr="000924BE">
        <w:t>, 3447-3454.</w:t>
      </w:r>
    </w:p>
    <w:p w14:paraId="29E4739B" w14:textId="77777777" w:rsidR="000924BE" w:rsidRPr="000924BE" w:rsidRDefault="000924BE" w:rsidP="000924BE">
      <w:pPr>
        <w:pStyle w:val="EndNoteBibliography"/>
        <w:spacing w:after="0"/>
      </w:pPr>
      <w:r w:rsidRPr="000924BE">
        <w:tab/>
      </w:r>
      <w:r w:rsidRPr="000924BE">
        <w:rPr>
          <w:b/>
        </w:rPr>
        <w:t>van de Pol, M. and Wright, J.</w:t>
      </w:r>
      <w:r w:rsidRPr="000924BE">
        <w:t xml:space="preserve"> (2009). A simple method for distinguishing within- versus between-subject effects using mixed models. </w:t>
      </w:r>
      <w:r w:rsidRPr="000924BE">
        <w:rPr>
          <w:i/>
        </w:rPr>
        <w:t>Animal Behaviour</w:t>
      </w:r>
      <w:r w:rsidRPr="000924BE">
        <w:t xml:space="preserve"> </w:t>
      </w:r>
      <w:r w:rsidRPr="000924BE">
        <w:rPr>
          <w:b/>
        </w:rPr>
        <w:t>77</w:t>
      </w:r>
      <w:r w:rsidRPr="000924BE">
        <w:t>, 753-758.</w:t>
      </w:r>
    </w:p>
    <w:p w14:paraId="2E68D092" w14:textId="77777777" w:rsidR="000924BE" w:rsidRPr="000924BE" w:rsidRDefault="000924BE" w:rsidP="000924BE">
      <w:pPr>
        <w:pStyle w:val="EndNoteBibliography"/>
        <w:spacing w:after="0"/>
      </w:pPr>
      <w:r w:rsidRPr="000924BE">
        <w:tab/>
      </w:r>
      <w:r w:rsidRPr="000924BE">
        <w:rPr>
          <w:b/>
        </w:rPr>
        <w:t>Viechtbauer, W.</w:t>
      </w:r>
      <w:r w:rsidRPr="000924BE">
        <w:t xml:space="preserve"> (2010). Conducting meta-analyses in R with the metafor package. </w:t>
      </w:r>
      <w:r w:rsidRPr="000924BE">
        <w:rPr>
          <w:i/>
        </w:rPr>
        <w:t>Journal of Statistical Software</w:t>
      </w:r>
      <w:r w:rsidRPr="000924BE">
        <w:t xml:space="preserve"> </w:t>
      </w:r>
      <w:r w:rsidRPr="000924BE">
        <w:rPr>
          <w:b/>
        </w:rPr>
        <w:t>36</w:t>
      </w:r>
      <w:r w:rsidRPr="000924BE">
        <w:t>, 1-48.</w:t>
      </w:r>
    </w:p>
    <w:p w14:paraId="1C721762" w14:textId="77777777" w:rsidR="000924BE" w:rsidRPr="000924BE" w:rsidRDefault="000924BE" w:rsidP="000924BE">
      <w:pPr>
        <w:pStyle w:val="EndNoteBibliography"/>
        <w:spacing w:after="0"/>
      </w:pPr>
      <w:r w:rsidRPr="000924BE">
        <w:tab/>
      </w:r>
      <w:r w:rsidRPr="000924BE">
        <w:rPr>
          <w:b/>
        </w:rPr>
        <w:t>Wilson, R. S. and Franklin, C. E.</w:t>
      </w:r>
      <w:r w:rsidRPr="000924BE">
        <w:t xml:space="preserve"> (2002). Testing the beneficial acclimation hypothesis. </w:t>
      </w:r>
      <w:r w:rsidRPr="000924BE">
        <w:rPr>
          <w:i/>
        </w:rPr>
        <w:t>Trends in Ecology &amp; Evolution</w:t>
      </w:r>
      <w:r w:rsidRPr="000924BE">
        <w:t xml:space="preserve"> </w:t>
      </w:r>
      <w:r w:rsidRPr="000924BE">
        <w:rPr>
          <w:b/>
        </w:rPr>
        <w:t>17</w:t>
      </w:r>
      <w:r w:rsidRPr="000924BE">
        <w:t>, 66-70.</w:t>
      </w:r>
    </w:p>
    <w:p w14:paraId="27A9EDEF" w14:textId="77777777" w:rsidR="000924BE" w:rsidRPr="000924BE" w:rsidRDefault="000924BE" w:rsidP="000924BE">
      <w:pPr>
        <w:pStyle w:val="EndNoteBibliography"/>
        <w:spacing w:after="0"/>
      </w:pPr>
      <w:r w:rsidRPr="000924BE">
        <w:tab/>
      </w:r>
      <w:r w:rsidRPr="000924BE">
        <w:rPr>
          <w:b/>
        </w:rPr>
        <w:t>Wright, J. C.</w:t>
      </w:r>
      <w:r w:rsidRPr="000924BE">
        <w:t xml:space="preserve"> (1986). Low to negligible cutaneous oxygen uptake in juvenile Crocodylus porosus. </w:t>
      </w:r>
      <w:r w:rsidRPr="000924BE">
        <w:rPr>
          <w:i/>
        </w:rPr>
        <w:t>Comparative Biochemistry and Physiology a-Molecular &amp; Integrative Physiology</w:t>
      </w:r>
      <w:r w:rsidRPr="000924BE">
        <w:t xml:space="preserve"> </w:t>
      </w:r>
      <w:r w:rsidRPr="000924BE">
        <w:rPr>
          <w:b/>
        </w:rPr>
        <w:t>84</w:t>
      </w:r>
      <w:r w:rsidRPr="000924BE">
        <w:t>, 479-481.</w:t>
      </w:r>
    </w:p>
    <w:p w14:paraId="038E1703" w14:textId="77777777" w:rsidR="000924BE" w:rsidRPr="000924BE" w:rsidRDefault="000924BE" w:rsidP="000924BE">
      <w:pPr>
        <w:pStyle w:val="EndNoteBibliography"/>
      </w:pPr>
      <w:r w:rsidRPr="000924BE">
        <w:tab/>
      </w:r>
      <w:r w:rsidRPr="000924BE">
        <w:rPr>
          <w:b/>
        </w:rPr>
        <w:t>Wright, J. C. and Kirshner, D.</w:t>
      </w:r>
      <w:r w:rsidRPr="000924BE">
        <w:t xml:space="preserve"> (1987). Allometry of lung volume during voluntary submergence in the saltwater crocodile Crocodylus porosus. </w:t>
      </w:r>
      <w:r w:rsidRPr="000924BE">
        <w:rPr>
          <w:i/>
        </w:rPr>
        <w:t>Journal of Experimental Biology</w:t>
      </w:r>
      <w:r w:rsidRPr="000924BE">
        <w:t xml:space="preserve"> </w:t>
      </w:r>
      <w:r w:rsidRPr="000924BE">
        <w:rPr>
          <w:b/>
        </w:rPr>
        <w:t>130</w:t>
      </w:r>
      <w:r w:rsidRPr="000924BE">
        <w:t>, 433-436.</w:t>
      </w:r>
    </w:p>
    <w:p w14:paraId="15D128E0" w14:textId="1C2CF3B5"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4F2092">
      <w:pPr>
        <w:pStyle w:val="Default"/>
        <w:spacing w:line="276" w:lineRule="auto"/>
        <w:jc w:val="both"/>
        <w:rPr>
          <w:rFonts w:ascii="Cambria" w:hAnsi="Cambria"/>
          <w:bCs/>
        </w:rPr>
      </w:pP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lastRenderedPageBreak/>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50D3A12A"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96521C" w:rsidRDefault="0096521C">
      <w:pPr>
        <w:pStyle w:val="CommentText"/>
      </w:pPr>
      <w:r>
        <w:rPr>
          <w:rStyle w:val="CommentReference"/>
        </w:rPr>
        <w:annotationRef/>
      </w:r>
      <w:r>
        <w:t xml:space="preserve">OK, a little wordy, but you get the </w:t>
      </w:r>
      <w:proofErr w:type="spellStart"/>
      <w:r>
        <w:t>jist</w:t>
      </w:r>
      <w:proofErr w:type="spellEnd"/>
      <w:r>
        <w:t>. I usually explain why here. I know you have this in the intro, but it’s worth being very clear and explicit here in relation to what you would expect</w:t>
      </w:r>
    </w:p>
  </w:comment>
  <w:comment w:id="1" w:author="Essie Rodgers" w:date="2020-04-14T10:17:00Z" w:initials="ER">
    <w:p w14:paraId="058BC2ED" w14:textId="026EB4C6" w:rsidR="0096521C" w:rsidRDefault="0096521C">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96521C" w:rsidRDefault="0096521C">
      <w:pPr>
        <w:pStyle w:val="CommentText"/>
      </w:pPr>
      <w:r>
        <w:rPr>
          <w:rStyle w:val="CommentReference"/>
        </w:rPr>
        <w:annotationRef/>
      </w:r>
      <w:r>
        <w:t>I’ll write this later</w:t>
      </w:r>
    </w:p>
  </w:comment>
  <w:comment w:id="3" w:author="Daniel Noble" w:date="2020-04-14T21:27:00Z" w:initials="DN">
    <w:p w14:paraId="1DE8ABF5" w14:textId="4A8FA249" w:rsidR="004B4E00" w:rsidRDefault="004B4E00">
      <w:pPr>
        <w:pStyle w:val="CommentText"/>
      </w:pPr>
      <w:r>
        <w:rPr>
          <w:rStyle w:val="CommentReference"/>
        </w:rPr>
        <w:annotationRef/>
      </w:r>
      <w:r>
        <w:t>I added this in for completeness, but I think lag effects are theoretically unlikely here. So we could ditch it.</w:t>
      </w:r>
    </w:p>
  </w:comment>
  <w:comment w:id="4" w:author="Daniel Noble" w:date="2020-04-14T21:28:00Z" w:initials="DN">
    <w:p w14:paraId="286D8B91" w14:textId="30C72683" w:rsidR="00A2685B" w:rsidRDefault="00A2685B">
      <w:pPr>
        <w:pStyle w:val="CommentText"/>
      </w:pPr>
      <w:r>
        <w:rPr>
          <w:rStyle w:val="CommentReference"/>
        </w:rPr>
        <w:annotationRef/>
      </w:r>
      <w:r>
        <w:t xml:space="preserve">OK, so, this is easy to do. Just take </w:t>
      </w:r>
      <w:proofErr w:type="spellStart"/>
      <w:r>
        <w:t>resiudals</w:t>
      </w:r>
      <w:proofErr w:type="spellEnd"/>
      <w:r>
        <w:t xml:space="preserve"> from you most saturated model: (</w:t>
      </w:r>
      <w:proofErr w:type="spellStart"/>
      <w:r>
        <w:t>ie.e</w:t>
      </w:r>
      <w:proofErr w:type="spellEnd"/>
      <w:r>
        <w:t xml:space="preserve">., res &lt;- residuals(model)), then use the funnel() function in </w:t>
      </w:r>
      <w:proofErr w:type="spellStart"/>
      <w:r>
        <w:t>metafor</w:t>
      </w:r>
      <w:proofErr w:type="spellEnd"/>
      <w:r>
        <w:t xml:space="preserve">. </w:t>
      </w:r>
      <w:proofErr w:type="spellStart"/>
      <w:r>
        <w:t>Fedin</w:t>
      </w:r>
      <w:proofErr w:type="spellEnd"/>
      <w:r>
        <w:t xml:space="preserve"> in the ‘res’ and the sampling variance vector and it should plot these out for you. I usually get the y-axis as </w:t>
      </w:r>
      <w:proofErr w:type="spellStart"/>
      <w:r>
        <w:t>invse</w:t>
      </w:r>
      <w:proofErr w:type="spellEnd"/>
      <w:r>
        <w:t xml:space="preserve"> (inverse sampling error – or precision) as it looks prettier.</w:t>
      </w:r>
    </w:p>
  </w:comment>
  <w:comment w:id="5" w:author="Daniel Noble" w:date="2020-04-14T21:30:00Z" w:initials="DN">
    <w:p w14:paraId="631D4FDF" w14:textId="65D6E536" w:rsidR="00A2685B" w:rsidRDefault="00A2685B">
      <w:pPr>
        <w:pStyle w:val="CommentText"/>
      </w:pPr>
      <w:r>
        <w:rPr>
          <w:rStyle w:val="CommentReference"/>
        </w:rPr>
        <w:annotationRef/>
      </w:r>
      <w:r>
        <w:t xml:space="preserve">OK, This is also fairly easy to do with residuals and sampling error. Just a formal test of the funnel approach. I can show you the code for </w:t>
      </w:r>
      <w:r>
        <w:t>this.</w:t>
      </w:r>
    </w:p>
  </w:comment>
  <w:comment w:id="6" w:author="Daniel Noble" w:date="2020-04-12T12:49:00Z" w:initials="DN">
    <w:p w14:paraId="2BD9A954" w14:textId="5A08399E" w:rsidR="0096521C" w:rsidRDefault="0096521C">
      <w:pPr>
        <w:pStyle w:val="CommentText"/>
      </w:pPr>
      <w:r>
        <w:rPr>
          <w:rStyle w:val="CommentReference"/>
        </w:rPr>
        <w:annotationRef/>
      </w:r>
      <w:r>
        <w:t>Looking at this now, I wonder whether we can even properly disentangle these two effects. Maybe we can just stick with the phylogeny only. Many models it looks like we can, but you can get flipping of what is important across models when these two things are too tightly connected. It would have been nice to have a few more studies where multiple species came from.</w:t>
      </w:r>
    </w:p>
  </w:comment>
  <w:comment w:id="10" w:author="Daniel Noble" w:date="2020-04-12T12:52:00Z" w:initials="DN">
    <w:p w14:paraId="65AABE20" w14:textId="03EF0EA8" w:rsidR="0096521C" w:rsidRDefault="0096521C">
      <w:pPr>
        <w:pStyle w:val="CommentText"/>
      </w:pPr>
      <w:r>
        <w:rPr>
          <w:rStyle w:val="CommentReference"/>
        </w:rPr>
        <w:annotationRef/>
      </w:r>
      <w:r>
        <w:t>change</w:t>
      </w:r>
    </w:p>
  </w:comment>
  <w:comment w:id="11" w:author="Daniel Noble" w:date="2020-04-12T12:18:00Z" w:initials="DN">
    <w:p w14:paraId="7528B0E8" w14:textId="053B1C25" w:rsidR="0096521C" w:rsidRDefault="0096521C">
      <w:pPr>
        <w:pStyle w:val="CommentText"/>
      </w:pPr>
      <w:r>
        <w:rPr>
          <w:rStyle w:val="CommentReference"/>
        </w:rPr>
        <w:annotationRef/>
      </w:r>
      <w:r>
        <w:t>This question doesn’t need the arm-based analysis because it is captured in the above question.</w:t>
      </w:r>
    </w:p>
  </w:comment>
  <w:comment w:id="12" w:author="Daniel Noble" w:date="2020-04-12T22:45:00Z" w:initials="DN">
    <w:p w14:paraId="45533B56" w14:textId="25183539" w:rsidR="0096521C" w:rsidRDefault="0096521C">
      <w:pPr>
        <w:pStyle w:val="CommentText"/>
      </w:pPr>
      <w:r>
        <w:rPr>
          <w:rStyle w:val="CommentReference"/>
        </w:rPr>
        <w:annotationRef/>
      </w:r>
    </w:p>
  </w:comment>
  <w:comment w:id="13" w:author="Daniel Noble" w:date="2020-04-12T22:45:00Z" w:initials="DN">
    <w:p w14:paraId="2CBEA386" w14:textId="7DEE5E3F" w:rsidR="0096521C" w:rsidRDefault="0096521C">
      <w:pPr>
        <w:pStyle w:val="CommentText"/>
      </w:pPr>
      <w:r>
        <w:rPr>
          <w:rStyle w:val="CommentReference"/>
        </w:rPr>
        <w:annotationRef/>
      </w:r>
      <w:r>
        <w:t>Check these numbers</w:t>
      </w:r>
    </w:p>
  </w:comment>
  <w:comment w:id="19" w:author="Daniel Noble" w:date="2020-04-12T23:10:00Z" w:initials="DN">
    <w:p w14:paraId="295C9C9A" w14:textId="0FF47423" w:rsidR="0096521C" w:rsidRDefault="0096521C">
      <w:pPr>
        <w:pStyle w:val="CommentText"/>
      </w:pPr>
      <w:r>
        <w:rPr>
          <w:rStyle w:val="CommentReference"/>
        </w:rPr>
        <w:annotationRef/>
      </w:r>
      <w:r>
        <w:t>OK cool. I’ll leave you to set this one up. I guess lab and field are easy because they are just another moderator</w:t>
      </w:r>
    </w:p>
  </w:comment>
  <w:comment w:id="21" w:author="Daniel Noble" w:date="2020-04-12T23:14:00Z" w:initials="DN">
    <w:p w14:paraId="14DBD664" w14:textId="66F9B40E" w:rsidR="0096521C" w:rsidRDefault="0096521C">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1DE8ABF5" w15:done="0"/>
  <w15:commentEx w15:paraId="286D8B91" w15:done="0"/>
  <w15:commentEx w15:paraId="631D4FDF" w15:done="0"/>
  <w15:commentEx w15:paraId="2BD9A954" w15:done="0"/>
  <w15:commentEx w15:paraId="65AABE20" w15:done="0"/>
  <w15:commentEx w15:paraId="7528B0E8" w15:done="0"/>
  <w15:commentEx w15:paraId="45533B56" w15:done="0"/>
  <w15:commentEx w15:paraId="2CBEA386" w15:paraIdParent="45533B56" w15:done="0"/>
  <w15:commentEx w15:paraId="295C9C9A"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1DE8ABF5" w16cid:durableId="2240A951"/>
  <w16cid:commentId w16cid:paraId="286D8B91" w16cid:durableId="2240A979"/>
  <w16cid:commentId w16cid:paraId="631D4FDF" w16cid:durableId="2240A9DE"/>
  <w16cid:commentId w16cid:paraId="2BD9A954" w16cid:durableId="223D8CE8"/>
  <w16cid:commentId w16cid:paraId="65AABE20" w16cid:durableId="223D8D8B"/>
  <w16cid:commentId w16cid:paraId="7528B0E8" w16cid:durableId="223D85A9"/>
  <w16cid:commentId w16cid:paraId="45533B56" w16cid:durableId="223E1881"/>
  <w16cid:commentId w16cid:paraId="2CBEA386" w16cid:durableId="223E1886"/>
  <w16cid:commentId w16cid:paraId="295C9C9A" w16cid:durableId="223E1E4E"/>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93BB6" w14:textId="77777777" w:rsidR="00D353E9" w:rsidRDefault="00D353E9" w:rsidP="00C83F0C">
      <w:pPr>
        <w:spacing w:after="0" w:line="240" w:lineRule="auto"/>
      </w:pPr>
      <w:r>
        <w:separator/>
      </w:r>
    </w:p>
  </w:endnote>
  <w:endnote w:type="continuationSeparator" w:id="0">
    <w:p w14:paraId="67648536" w14:textId="77777777" w:rsidR="00D353E9" w:rsidRDefault="00D353E9"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ato-Regular">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B87B1" w14:textId="77777777" w:rsidR="00D353E9" w:rsidRDefault="00D353E9" w:rsidP="00C83F0C">
      <w:pPr>
        <w:spacing w:after="0" w:line="240" w:lineRule="auto"/>
      </w:pPr>
      <w:r>
        <w:separator/>
      </w:r>
    </w:p>
  </w:footnote>
  <w:footnote w:type="continuationSeparator" w:id="0">
    <w:p w14:paraId="4BC3E61A" w14:textId="77777777" w:rsidR="00D353E9" w:rsidRDefault="00D353E9"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v9pp5xj9dpedepep0pw20vztzv92p0pzv5&quot;&gt;Diving_MA_post abstract screening_included papers only&lt;record-ids&gt;&lt;item&gt;43&lt;/item&gt;&lt;/record-ids&gt;&lt;/item&gt;&lt;item db-id=&quot;tttdpeszc2d2fkevew7v2rskrsra9200wwvx&quot;&gt;Mega_library&lt;record-ids&gt;&lt;item&gt;11&lt;/item&gt;&lt;item&gt;21&lt;/item&gt;&lt;item&gt;29&lt;/item&gt;&lt;item&gt;32&lt;/item&gt;&lt;item&gt;35&lt;/item&gt;&lt;item&gt;37&lt;/item&gt;&lt;item&gt;38&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record-ids&gt;&lt;/item&gt;&lt;/Libraries&gt;"/>
  </w:docVars>
  <w:rsids>
    <w:rsidRoot w:val="009C37BA"/>
    <w:rsid w:val="000159E5"/>
    <w:rsid w:val="000328C2"/>
    <w:rsid w:val="0004059B"/>
    <w:rsid w:val="000519C8"/>
    <w:rsid w:val="00052B36"/>
    <w:rsid w:val="00056988"/>
    <w:rsid w:val="000603E8"/>
    <w:rsid w:val="0007055D"/>
    <w:rsid w:val="00076596"/>
    <w:rsid w:val="00077A37"/>
    <w:rsid w:val="0008115F"/>
    <w:rsid w:val="00081F5E"/>
    <w:rsid w:val="00083FF6"/>
    <w:rsid w:val="00086ED6"/>
    <w:rsid w:val="00091113"/>
    <w:rsid w:val="00091479"/>
    <w:rsid w:val="000924BE"/>
    <w:rsid w:val="000A32EB"/>
    <w:rsid w:val="000A541B"/>
    <w:rsid w:val="000B37D2"/>
    <w:rsid w:val="000B3DBA"/>
    <w:rsid w:val="000B49FB"/>
    <w:rsid w:val="000B5BC0"/>
    <w:rsid w:val="000B7A78"/>
    <w:rsid w:val="000C176F"/>
    <w:rsid w:val="000C24D8"/>
    <w:rsid w:val="000C3468"/>
    <w:rsid w:val="000C44F4"/>
    <w:rsid w:val="000C7AD9"/>
    <w:rsid w:val="000D39F1"/>
    <w:rsid w:val="000E2DEF"/>
    <w:rsid w:val="000E517A"/>
    <w:rsid w:val="00106ACC"/>
    <w:rsid w:val="00116309"/>
    <w:rsid w:val="00121A45"/>
    <w:rsid w:val="0012333C"/>
    <w:rsid w:val="00130A68"/>
    <w:rsid w:val="00137F5A"/>
    <w:rsid w:val="00141F52"/>
    <w:rsid w:val="00144D63"/>
    <w:rsid w:val="00146D5F"/>
    <w:rsid w:val="001478DD"/>
    <w:rsid w:val="00166B01"/>
    <w:rsid w:val="0017136E"/>
    <w:rsid w:val="00171879"/>
    <w:rsid w:val="001849B8"/>
    <w:rsid w:val="001B30C7"/>
    <w:rsid w:val="001C13B7"/>
    <w:rsid w:val="001E2D8B"/>
    <w:rsid w:val="001E4CA5"/>
    <w:rsid w:val="0020524C"/>
    <w:rsid w:val="00213937"/>
    <w:rsid w:val="00216298"/>
    <w:rsid w:val="00234524"/>
    <w:rsid w:val="0024184F"/>
    <w:rsid w:val="00244AFF"/>
    <w:rsid w:val="00246125"/>
    <w:rsid w:val="00254565"/>
    <w:rsid w:val="00262804"/>
    <w:rsid w:val="002766A0"/>
    <w:rsid w:val="00293E9A"/>
    <w:rsid w:val="002A19AE"/>
    <w:rsid w:val="002A695D"/>
    <w:rsid w:val="002B7B14"/>
    <w:rsid w:val="002B7D6B"/>
    <w:rsid w:val="002E381E"/>
    <w:rsid w:val="002F50C6"/>
    <w:rsid w:val="00301259"/>
    <w:rsid w:val="00313F2F"/>
    <w:rsid w:val="003517A0"/>
    <w:rsid w:val="003655CF"/>
    <w:rsid w:val="0037536E"/>
    <w:rsid w:val="00376FEB"/>
    <w:rsid w:val="003A3556"/>
    <w:rsid w:val="003A7573"/>
    <w:rsid w:val="003C1F47"/>
    <w:rsid w:val="003C4B51"/>
    <w:rsid w:val="003D2186"/>
    <w:rsid w:val="003D3F2B"/>
    <w:rsid w:val="003D4A0B"/>
    <w:rsid w:val="003F3987"/>
    <w:rsid w:val="003F4DDA"/>
    <w:rsid w:val="003F6921"/>
    <w:rsid w:val="003F77CA"/>
    <w:rsid w:val="00413304"/>
    <w:rsid w:val="0041365D"/>
    <w:rsid w:val="00417161"/>
    <w:rsid w:val="00461EBE"/>
    <w:rsid w:val="00472863"/>
    <w:rsid w:val="004740EA"/>
    <w:rsid w:val="00482D8D"/>
    <w:rsid w:val="00483145"/>
    <w:rsid w:val="00490F1A"/>
    <w:rsid w:val="004B4E00"/>
    <w:rsid w:val="004C619A"/>
    <w:rsid w:val="004E0B02"/>
    <w:rsid w:val="004E2815"/>
    <w:rsid w:val="004E3B0B"/>
    <w:rsid w:val="004E5FF4"/>
    <w:rsid w:val="004F2092"/>
    <w:rsid w:val="004F7702"/>
    <w:rsid w:val="004F7936"/>
    <w:rsid w:val="00500134"/>
    <w:rsid w:val="00510003"/>
    <w:rsid w:val="005536E6"/>
    <w:rsid w:val="00566F4D"/>
    <w:rsid w:val="0057233B"/>
    <w:rsid w:val="005724C0"/>
    <w:rsid w:val="00574FD1"/>
    <w:rsid w:val="00586A58"/>
    <w:rsid w:val="005932EA"/>
    <w:rsid w:val="005A0E8B"/>
    <w:rsid w:val="005A50AD"/>
    <w:rsid w:val="005A73BE"/>
    <w:rsid w:val="005B379B"/>
    <w:rsid w:val="005C2E25"/>
    <w:rsid w:val="005C62FF"/>
    <w:rsid w:val="005C750A"/>
    <w:rsid w:val="005C7ED9"/>
    <w:rsid w:val="005D3AB1"/>
    <w:rsid w:val="005F138F"/>
    <w:rsid w:val="006110DB"/>
    <w:rsid w:val="00645BED"/>
    <w:rsid w:val="00650DCC"/>
    <w:rsid w:val="0065202C"/>
    <w:rsid w:val="006647B6"/>
    <w:rsid w:val="00672C45"/>
    <w:rsid w:val="006878D4"/>
    <w:rsid w:val="00693A79"/>
    <w:rsid w:val="006965C6"/>
    <w:rsid w:val="006B1876"/>
    <w:rsid w:val="006B30C7"/>
    <w:rsid w:val="006B3528"/>
    <w:rsid w:val="006D057B"/>
    <w:rsid w:val="006E35B8"/>
    <w:rsid w:val="006F1C3C"/>
    <w:rsid w:val="007107B3"/>
    <w:rsid w:val="00740A97"/>
    <w:rsid w:val="00746372"/>
    <w:rsid w:val="0074668D"/>
    <w:rsid w:val="007471D9"/>
    <w:rsid w:val="0074770C"/>
    <w:rsid w:val="00771704"/>
    <w:rsid w:val="00776FAE"/>
    <w:rsid w:val="00784BE9"/>
    <w:rsid w:val="00785AFD"/>
    <w:rsid w:val="00786A7B"/>
    <w:rsid w:val="007912C8"/>
    <w:rsid w:val="007C3624"/>
    <w:rsid w:val="007C4DCE"/>
    <w:rsid w:val="007D6E51"/>
    <w:rsid w:val="007E5CD1"/>
    <w:rsid w:val="007F27DC"/>
    <w:rsid w:val="00800F97"/>
    <w:rsid w:val="0082230C"/>
    <w:rsid w:val="00826ECB"/>
    <w:rsid w:val="00837C1B"/>
    <w:rsid w:val="00844493"/>
    <w:rsid w:val="00852954"/>
    <w:rsid w:val="008547A7"/>
    <w:rsid w:val="0086468E"/>
    <w:rsid w:val="008811CF"/>
    <w:rsid w:val="00892B99"/>
    <w:rsid w:val="0089388A"/>
    <w:rsid w:val="008A2A1B"/>
    <w:rsid w:val="008A2E21"/>
    <w:rsid w:val="008B142A"/>
    <w:rsid w:val="008B1EB6"/>
    <w:rsid w:val="008B1ED1"/>
    <w:rsid w:val="008B25E0"/>
    <w:rsid w:val="008C3A19"/>
    <w:rsid w:val="008D5249"/>
    <w:rsid w:val="008E2512"/>
    <w:rsid w:val="008F12A6"/>
    <w:rsid w:val="008F6D84"/>
    <w:rsid w:val="009030B7"/>
    <w:rsid w:val="00903E0E"/>
    <w:rsid w:val="00906350"/>
    <w:rsid w:val="00906F49"/>
    <w:rsid w:val="00914018"/>
    <w:rsid w:val="009146A0"/>
    <w:rsid w:val="00925E8F"/>
    <w:rsid w:val="0093180D"/>
    <w:rsid w:val="0093294D"/>
    <w:rsid w:val="00935DD6"/>
    <w:rsid w:val="0094293D"/>
    <w:rsid w:val="00950709"/>
    <w:rsid w:val="00961928"/>
    <w:rsid w:val="0096348C"/>
    <w:rsid w:val="00963CAF"/>
    <w:rsid w:val="0096521C"/>
    <w:rsid w:val="00980B0A"/>
    <w:rsid w:val="0098179B"/>
    <w:rsid w:val="009A7ABA"/>
    <w:rsid w:val="009B7E55"/>
    <w:rsid w:val="009C37BA"/>
    <w:rsid w:val="009C6BE5"/>
    <w:rsid w:val="009D00BD"/>
    <w:rsid w:val="009D4DEF"/>
    <w:rsid w:val="009F3D38"/>
    <w:rsid w:val="009F3F03"/>
    <w:rsid w:val="00A00A4F"/>
    <w:rsid w:val="00A0170F"/>
    <w:rsid w:val="00A0238A"/>
    <w:rsid w:val="00A069F2"/>
    <w:rsid w:val="00A06F87"/>
    <w:rsid w:val="00A13F95"/>
    <w:rsid w:val="00A171BB"/>
    <w:rsid w:val="00A21C34"/>
    <w:rsid w:val="00A2272A"/>
    <w:rsid w:val="00A24A59"/>
    <w:rsid w:val="00A2685B"/>
    <w:rsid w:val="00A32690"/>
    <w:rsid w:val="00A367C3"/>
    <w:rsid w:val="00A41E90"/>
    <w:rsid w:val="00A6416E"/>
    <w:rsid w:val="00A6513F"/>
    <w:rsid w:val="00A65D18"/>
    <w:rsid w:val="00A70603"/>
    <w:rsid w:val="00A708D9"/>
    <w:rsid w:val="00A7103E"/>
    <w:rsid w:val="00A95BBA"/>
    <w:rsid w:val="00AA023A"/>
    <w:rsid w:val="00AB1D7B"/>
    <w:rsid w:val="00AB43AB"/>
    <w:rsid w:val="00AC5FEF"/>
    <w:rsid w:val="00AC67A8"/>
    <w:rsid w:val="00AD75AD"/>
    <w:rsid w:val="00AE3E85"/>
    <w:rsid w:val="00AE5706"/>
    <w:rsid w:val="00AE6208"/>
    <w:rsid w:val="00AF78B8"/>
    <w:rsid w:val="00B04C31"/>
    <w:rsid w:val="00B12C88"/>
    <w:rsid w:val="00B13896"/>
    <w:rsid w:val="00B155A3"/>
    <w:rsid w:val="00B16CEA"/>
    <w:rsid w:val="00B216C1"/>
    <w:rsid w:val="00B22B30"/>
    <w:rsid w:val="00B2582B"/>
    <w:rsid w:val="00B27B5F"/>
    <w:rsid w:val="00B27F02"/>
    <w:rsid w:val="00B34A13"/>
    <w:rsid w:val="00B5718E"/>
    <w:rsid w:val="00B57568"/>
    <w:rsid w:val="00B848D8"/>
    <w:rsid w:val="00B95894"/>
    <w:rsid w:val="00B973A2"/>
    <w:rsid w:val="00BB4644"/>
    <w:rsid w:val="00BB511B"/>
    <w:rsid w:val="00BB5E84"/>
    <w:rsid w:val="00BC5C82"/>
    <w:rsid w:val="00BE42F4"/>
    <w:rsid w:val="00C15D0C"/>
    <w:rsid w:val="00C207A2"/>
    <w:rsid w:val="00C20CC0"/>
    <w:rsid w:val="00C32CDB"/>
    <w:rsid w:val="00C343FB"/>
    <w:rsid w:val="00C40E44"/>
    <w:rsid w:val="00C50815"/>
    <w:rsid w:val="00C54851"/>
    <w:rsid w:val="00C54C14"/>
    <w:rsid w:val="00C62598"/>
    <w:rsid w:val="00C631FA"/>
    <w:rsid w:val="00C70510"/>
    <w:rsid w:val="00C70530"/>
    <w:rsid w:val="00C71A9C"/>
    <w:rsid w:val="00C7205F"/>
    <w:rsid w:val="00C7264B"/>
    <w:rsid w:val="00C727C5"/>
    <w:rsid w:val="00C8104C"/>
    <w:rsid w:val="00C83F0C"/>
    <w:rsid w:val="00C846C6"/>
    <w:rsid w:val="00C84E96"/>
    <w:rsid w:val="00C86325"/>
    <w:rsid w:val="00C86354"/>
    <w:rsid w:val="00C92BA6"/>
    <w:rsid w:val="00C92E89"/>
    <w:rsid w:val="00CA1B65"/>
    <w:rsid w:val="00CA3CD6"/>
    <w:rsid w:val="00CC6D18"/>
    <w:rsid w:val="00CE0170"/>
    <w:rsid w:val="00CF53ED"/>
    <w:rsid w:val="00D06ADB"/>
    <w:rsid w:val="00D111FC"/>
    <w:rsid w:val="00D12BC4"/>
    <w:rsid w:val="00D22A40"/>
    <w:rsid w:val="00D24004"/>
    <w:rsid w:val="00D27F80"/>
    <w:rsid w:val="00D34FED"/>
    <w:rsid w:val="00D353E9"/>
    <w:rsid w:val="00D42B63"/>
    <w:rsid w:val="00D44216"/>
    <w:rsid w:val="00D62139"/>
    <w:rsid w:val="00D71C4D"/>
    <w:rsid w:val="00D805DC"/>
    <w:rsid w:val="00D8477E"/>
    <w:rsid w:val="00D87220"/>
    <w:rsid w:val="00D96B48"/>
    <w:rsid w:val="00D97F78"/>
    <w:rsid w:val="00DA6A17"/>
    <w:rsid w:val="00DA6E02"/>
    <w:rsid w:val="00DD1632"/>
    <w:rsid w:val="00DD4517"/>
    <w:rsid w:val="00DE113E"/>
    <w:rsid w:val="00DE2BB6"/>
    <w:rsid w:val="00DE505B"/>
    <w:rsid w:val="00DF046B"/>
    <w:rsid w:val="00DF3CE2"/>
    <w:rsid w:val="00DF569B"/>
    <w:rsid w:val="00DF66E6"/>
    <w:rsid w:val="00DF68CC"/>
    <w:rsid w:val="00E063C0"/>
    <w:rsid w:val="00E06B9E"/>
    <w:rsid w:val="00E11854"/>
    <w:rsid w:val="00E17A80"/>
    <w:rsid w:val="00E453E0"/>
    <w:rsid w:val="00E548C0"/>
    <w:rsid w:val="00E55568"/>
    <w:rsid w:val="00E63079"/>
    <w:rsid w:val="00E71CAC"/>
    <w:rsid w:val="00E910D7"/>
    <w:rsid w:val="00EC17BA"/>
    <w:rsid w:val="00ED3C93"/>
    <w:rsid w:val="00EF4602"/>
    <w:rsid w:val="00F0523E"/>
    <w:rsid w:val="00F3082E"/>
    <w:rsid w:val="00F31157"/>
    <w:rsid w:val="00F40D08"/>
    <w:rsid w:val="00F57DA9"/>
    <w:rsid w:val="00F64F36"/>
    <w:rsid w:val="00F66963"/>
    <w:rsid w:val="00F67CBF"/>
    <w:rsid w:val="00F83D9C"/>
    <w:rsid w:val="00F85831"/>
    <w:rsid w:val="00F8671B"/>
    <w:rsid w:val="00F875C4"/>
    <w:rsid w:val="00FB06C3"/>
    <w:rsid w:val="00FB595F"/>
    <w:rsid w:val="00FB690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3B71-A55F-E840-9462-62317DCA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17</Pages>
  <Words>10300</Words>
  <Characters>58712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Daniel Noble</cp:lastModifiedBy>
  <cp:revision>186</cp:revision>
  <dcterms:created xsi:type="dcterms:W3CDTF">2020-03-31T01:45:00Z</dcterms:created>
  <dcterms:modified xsi:type="dcterms:W3CDTF">2020-04-14T11:30:00Z</dcterms:modified>
</cp:coreProperties>
</file>