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50" w:before="40"/>
        <w:jc w:val="center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42"/>
          <w:szCs w:val="42"/>
        </w:rPr>
        <w:t xml:space="preserve">SUPER HUMANOS</w:t>
      </w:r>
    </w:p>
    <w:p>
      <w:pPr>
        <w:spacing w:after="50" w:before="40"/>
        <w:jc w:val="center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8"/>
          <w:szCs w:val="28"/>
        </w:rPr>
        <w:t xml:space="preserve">Guía de contenido · perfil administrativo</w:t>
      </w:r>
    </w:p>
    <w:p>
      <w:pPr>
        <w:spacing w:after="240" w:before="40"/>
        <w:jc w:val="center"/>
      </w:pPr>
      <w:r>
        <w:rPr>
          <w:rFonts w:ascii="Atkinson Hyperlegible Next" w:cs="Atkinson Hyperlegible Next" w:eastAsia="Atkinson Hyperlegible Next" w:hAnsi="Atkinson Hyperlegible Next"/>
          <w:i/>
          <w:iCs/>
          <w:color w:val="3D3D38"/>
          <w:sz w:val="20"/>
          <w:szCs w:val="20"/>
        </w:rPr>
        <w:t xml:space="preserve">El puente entre el temario y lo que el docente construye</w:t>
      </w:r>
    </w:p>
    <w:p>
      <w:pPr>
        <w:spacing w:after="220" w:before="40"/>
        <w:jc w:val="center"/>
      </w:pPr>
      <w:r>
        <w:rPr>
          <w:rFonts w:ascii="Atkinson Hyperlegible Next" w:cs="Atkinson Hyperlegible Next" w:eastAsia="Atkinson Hyperlegible Next" w:hAnsi="Atkinson Hyperlegible Next"/>
          <w:color w:val="74746E"/>
          <w:sz w:val="18"/>
          <w:szCs w:val="18"/>
        </w:rPr>
        <w:t xml:space="preserve">Pivot Power · documento interno · octubre de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FF9E0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CÓMO USARLA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El temario dice qué se enseña. Esta guía dice cómo se arma: cuántas secciones tiene la presentación, qué va en cada una, cómo se estructura la demostración, qué ejercicio se hace y qué debe medir la evaluación.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El Taller 1 va completo, para los dos perfiles, como modelo. Los talleres 2 a 6 traen lo que cada uno debe cubrir sin falta.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El docente construye sobre esto. La líder instruccional revisa contra esto.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1 · LA ESTRUCTURA QUE SE REPITE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Los seis talleres tienen la misma arquitectura de contenido. Cambia el tema, no la forma.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Encuentro 1 · 90 minutos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500"/>
        <w:gridCol w:w="5580"/>
      </w:tblGrid>
      <w:tr>
        <w:trPr>
          <w:cantSplit/>
        </w:trPr>
        <w:tc>
          <w:tcPr>
            <w:tcW w:type="dxa" w:w="17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Sección</w:t>
            </w:r>
          </w:p>
        </w:tc>
        <w:tc>
          <w:tcPr>
            <w:tcW w:type="dxa" w:w="13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Minutos</w:t>
            </w:r>
          </w:p>
        </w:tc>
        <w:tc>
          <w:tcPr>
            <w:tcW w:type="dxa" w:w="15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Diapositivas</w:t>
            </w:r>
          </w:p>
        </w:tc>
        <w:tc>
          <w:tcPr>
            <w:tcW w:type="dxa" w:w="55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Qué contiene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Apertura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0 – 5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Bienvenida, pregunta rápida al chat y recordatorio de puntos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hábito del mes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5 – 15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 a 4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hábito contado con una historia real de G&amp;J. Termina con una pregunta abierta al grupo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concepto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15 – 45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8 a 12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idea del mes: qué es, cómo funciona, dónde se aplica en el rol. Una idea por diapositiva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demostración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45 – 65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o 2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Pantalla compartida con la herramienta, no diapositivas. Un caso de la guía de casos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práctica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65 – 85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Instrucciones del ejercicio y el prompt de partida. El resto es trabajo del grupo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cierre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85 – 90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reto de la semana, el formato «Mi proceso» y la fecha del consultorio</w:t>
            </w:r>
          </w:p>
        </w:tc>
      </w:tr>
    </w:tbl>
    <w:p>
      <w:pPr>
        <w:spacing w:after="80" w:before="6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Entre 18 y 24 diapositivas en total. Más de 25 significa que hay teoría de sobra.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Encuentro 2 · 90 minutos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500"/>
        <w:gridCol w:w="5580"/>
      </w:tblGrid>
      <w:tr>
        <w:trPr>
          <w:cantSplit/>
        </w:trPr>
        <w:tc>
          <w:tcPr>
            <w:tcW w:type="dxa" w:w="17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Sección</w:t>
            </w:r>
          </w:p>
        </w:tc>
        <w:tc>
          <w:tcPr>
            <w:tcW w:type="dxa" w:w="13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Minutos</w:t>
            </w:r>
          </w:p>
        </w:tc>
        <w:tc>
          <w:tcPr>
            <w:tcW w:type="dxa" w:w="15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Diapositivas</w:t>
            </w:r>
          </w:p>
        </w:tc>
        <w:tc>
          <w:tcPr>
            <w:tcW w:type="dxa" w:w="55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contiene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Repaso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0 – 10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salió del reto de la semana y del consultorio. Dos o tres ejemplos del grupo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Aplicación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10 – 45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 a 4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Instrucciones del trabajo con el formato «Mi proceso» y una plantilla llena como ejemplo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Casos compartidos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45 – 70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Tres o cuatro personas muestran su pantalla. El docente retroalimenta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Cierre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70 – 90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Puntos del mes, evaluación abierta, encuesta y anuncio del siguiente taller</w:t>
            </w:r>
          </w:p>
        </w:tc>
      </w:tr>
    </w:tbl>
    <w:p>
      <w:pPr>
        <w:spacing w:after="80" w:before="6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Entre 10 y 14 diapositivas. El encuentro 2 es trabajo de los participantes, no exposición.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Las siete reglas del contenido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Una idea por diapositiva. Si hay dos, son dos diapositivas.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Cada concepto aterriza en un caso de G&amp;J de la guía de casos, con su dato.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 demostración se hace en vivo, con la herramienta en pantalla y los errores incluidos.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Todo se puede hacer con herramientas gratuitas.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Cada taller dice en voz alta qué se verifica y qué no se delega.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Sin prometer porcentajes de ahorro: el número lo pone cada persona al medir su tarea.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Sin jerga: «instrucción» en lugar de «prompt engineering», «clase» en lugar de «sesión sincrónica».</w:t>
      </w:r>
    </w:p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2 · TALLER 1 · ADMINISTRATIVO</w:t>
      </w:r>
    </w:p>
    <w:p>
      <w:pPr>
        <w:spacing w:after="12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56564F"/>
          <w:sz w:val="19"/>
          <w:szCs w:val="19"/>
        </w:rPr>
        <w:t xml:space="preserve">IA para la gestión administrativa: primeros pasos con criterio · 23 y 28 de octubre · hábito de apertura: aprendizaje continuo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IA redacta, resume y ordena. No calcula ni consulta tus sistemas. Tú pones el dato y la verificación.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Mapa de contenidos del encuentro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780"/>
        <w:gridCol w:w="1500"/>
      </w:tblGrid>
      <w:tr>
        <w:trPr>
          <w:cantSplit/>
        </w:trPr>
        <w:tc>
          <w:tcPr>
            <w:tcW w:type="dxa" w:w="18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Bloque</w:t>
            </w:r>
          </w:p>
        </w:tc>
        <w:tc>
          <w:tcPr>
            <w:tcW w:type="dxa" w:w="67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se enseña</w:t>
            </w:r>
          </w:p>
        </w:tc>
        <w:tc>
          <w:tcPr>
            <w:tcW w:type="dxa" w:w="15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Diapositivas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hábito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Aprendizaje continuo. Historia: la estadística del mes que termina cuando ya empezó la del siguiente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es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es un modelo de lenguaje y por qué redacta bien y calcula mal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no es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No consulta los sistemas de la empresa, no recuerda, inventa cifras y normas con seguridad. Ejemplo de una cita normativa inventada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miedo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Conversación de cinco minutos sobre qué tareas administrativas conservan su valor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Las mentalidades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Las seis del programa, con autodiagnóstico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Primer contacto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Abrir la herramienta autorizada todos al tiempo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instrucción completa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Rol, contexto, tarea, formato y ejemplo, con una solicitud administrativa real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Uso responsable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Los cuatro niveles de riesgo con nómina, datos de terceros, información financiera y documentos de vinculación. La política de G&amp;J y quién firma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La demostración · 20 minutos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rPr>
          <w:cantSplit/>
        </w:trPr>
        <w:tc>
          <w:tcPr>
            <w:tcW w:type="dxa" w:w="5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Paso</w:t>
            </w:r>
          </w:p>
        </w:tc>
        <w:tc>
          <w:tcPr>
            <w:tcW w:type="dxa" w:w="95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hace el docente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9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Toma un documento normativo largo y pide un resumen vago. Muestra el resultado genérico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9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Rehace la instrucción pidiendo cinco puntos, con lo que cambia y desde cuándo rige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9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Verifica una de las afirmaciones contra el texto original, en pantalla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9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Convierte las notas de un comité en un acta con decisiones, responsables y fechas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9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Señala qué quedó pendiente de verificar antes de enviarla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La práctica · 20 minutos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Cada participante resume un documento propio y arma el acta de su última reunión.</w:t>
      </w:r>
    </w:p>
    <w:p>
      <w:pPr>
        <w:spacing w:after="60" w:before="150"/>
      </w:pPr>
      <w:r>
        <w:rPr>
          <w:rFonts w:ascii="Barlow Condensed" w:cs="Barlow Condensed" w:eastAsia="Barlow Condensed" w:hAnsi="Barlow Condensed"/>
          <w:b/>
          <w:bCs/>
          <w:color w:val="3D3D38"/>
          <w:sz w:val="21"/>
          <w:szCs w:val="21"/>
        </w:rPr>
        <w:t xml:space="preserve">Prompts del kit</w:t>
      </w:r>
    </w:p>
    <w:p>
      <w:pPr>
        <w:spacing w:after="40" w:before="40"/>
        <w:ind w:left="360" w:right="300"/>
      </w:pPr>
      <w:r>
        <w:rPr>
          <w:rFonts w:ascii="Atkinson Hyperlegible Next" w:cs="Atkinson Hyperlegible Next" w:eastAsia="Atkinson Hyperlegible Next" w:hAnsi="Atkinson Hyperlegible Next"/>
          <w:i/>
          <w:iCs/>
          <w:color w:val="3D3D38"/>
          <w:sz w:val="17"/>
          <w:szCs w:val="17"/>
        </w:rPr>
        <w:t xml:space="preserve">» Te voy a pegar un documento. Resúmelo en cinco puntos, en lenguaje sencillo, y dime qué cambia para mi trabajo diario. Si citas una cifra o un artículo, indícame en qué parte del texto está para verificarlo.</w:t>
      </w:r>
    </w:p>
    <w:p>
      <w:pPr>
        <w:spacing w:after="40" w:before="40"/>
        <w:ind w:left="360" w:right="300"/>
      </w:pPr>
      <w:r>
        <w:rPr>
          <w:rFonts w:ascii="Atkinson Hyperlegible Next" w:cs="Atkinson Hyperlegible Next" w:eastAsia="Atkinson Hyperlegible Next" w:hAnsi="Atkinson Hyperlegible Next"/>
          <w:i/>
          <w:iCs/>
          <w:color w:val="3D3D38"/>
          <w:sz w:val="17"/>
          <w:szCs w:val="17"/>
        </w:rPr>
        <w:t xml:space="preserve">» Te voy a pegar las notas de una reunión. Conviértelas en un acta con tres partes: decisiones tomadas, compromisos con responsable y fecha, y temas pendientes. Si falta el responsable o la fecha de un compromiso, márcalo como pendiente en lugar de inventarlo.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Encuentro 2 · aplicación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Cada persona elige una tarea de redacción o de resumen que repite cada semana.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Mide cuánto le toma hoy, arma su instrucción reutilizable y vuelve a medir.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Tres o cuatro comparten y el grupo retroalimenta.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Qué debe medir la evaluación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7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mide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– 2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es y qué no es la IA generativa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3 – 4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Reconocer una instrucción completa frente a una vaga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hacer con una cifra que no se alcanzó a verificar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6 – 7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información administrativa puede entrar a una herramienta de 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8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Quién responde por un informe hecho con apoyo de 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9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Relacionar una mentalidad con una situación de trabajo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10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Elegir el mejor uso de la IA en un caso del rol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3 · LO QUE DEBE CUBRIR CADA TALLER · ADMINISTRATIVO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Taller 2 · Datos para decidir con 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tiempo se va armando el reporte, no analizándolo.</w:t>
            </w:r>
          </w:p>
        </w:tc>
      </w:tr>
    </w:tbl>
    <w:p>
      <w:pPr>
        <w:spacing w:after="30" w:before="1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Lo que no puede faltar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Los seis destinos del trabajo y los siete criterios.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 consolidación manual: por qué consume el mes.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Consolidar archivos con formatos distintos y verificar totales.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Preguntas que se le hacen a una estadística: dónde se concentra, qué cambió, qué se repite.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El informe de una página: qué pasó, por qué, qué proponemos, qué necesitamos.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cantSplit/>
        </w:trPr>
        <w:tc>
          <w:tcPr>
            <w:tcW w:type="dxa" w:w="34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Demostración</w:t>
            </w:r>
          </w:p>
        </w:tc>
        <w:tc>
          <w:tcPr>
            <w:tcW w:type="dxa" w:w="334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Ejercicio</w:t>
            </w:r>
          </w:p>
        </w:tc>
        <w:tc>
          <w:tcPr>
            <w:tcW w:type="dxa" w:w="334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Foco de la evaluación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Tres archivos del mismo indicador con formatos distintos: consolidarlos y verificar los totales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quien consolida sus propios archivos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Clasificar tareas, detectar problemas de una base, elegir la estructura de un informe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Taller 3 · Productividad digital: de la bandeja al tablero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correo es un canal, no un sistema de seguimiento.</w:t>
            </w:r>
          </w:p>
        </w:tc>
      </w:tr>
    </w:tbl>
    <w:p>
      <w:pPr>
        <w:spacing w:after="30" w:before="1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Lo que no puede faltar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Qué convierte un mensaje en tarea: verbo, responsable, fecha y criterio de cierre.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Extraer tareas de un correo largo, de un acta o de una transcripción.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El tablero personal con las herramientas que ya tiene la empresa.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Priorizar con criterio explícito: vencimiento, impacto, tiempo y a quién bloquea.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Plazos que no se pueden olvidar y el tablero del equipo.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cantSplit/>
        </w:trPr>
        <w:tc>
          <w:tcPr>
            <w:tcW w:type="dxa" w:w="34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Demostración</w:t>
            </w:r>
          </w:p>
        </w:tc>
        <w:tc>
          <w:tcPr>
            <w:tcW w:type="dxa" w:w="334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Ejercicio</w:t>
            </w:r>
          </w:p>
        </w:tc>
        <w:tc>
          <w:tcPr>
            <w:tcW w:type="dxa" w:w="334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Foco de la evaluación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Una bandeja real: extraer las tareas con responsable y fecha y cargarlas en un tablero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quien arma su tablero con los pendientes de la semana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le falta a un mensaje para ser tarea, qué herramienta usar, cómo priorizar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Taller 4 · Procesos internos con 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Una IA sin el documento oficial responde bonito y equivocado.</w:t>
            </w:r>
          </w:p>
        </w:tc>
      </w:tr>
    </w:tbl>
    <w:p>
      <w:pPr>
        <w:spacing w:after="30" w:before="1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Lo que no puede faltar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 misma pregunta con y sin el documento oficial.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El mapa de fuentes del área y el problema de las tres versiones del mismo archivo.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Preguntarle a los procedimientos propios y verificar la respuesta contra el texto.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Formularios repetitivos: base reutilizable y verificación campo por campo.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Informes duplicados: cómo levantar el inventario de reportes del área.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cantSplit/>
        </w:trPr>
        <w:tc>
          <w:tcPr>
            <w:tcW w:type="dxa" w:w="34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Demostración</w:t>
            </w:r>
          </w:p>
        </w:tc>
        <w:tc>
          <w:tcPr>
            <w:tcW w:type="dxa" w:w="334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Ejercicio</w:t>
            </w:r>
          </w:p>
        </w:tc>
        <w:tc>
          <w:tcPr>
            <w:tcW w:type="dxa" w:w="334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Foco de la evaluación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Cargar un procedimiento real, hacerle tres preguntas y contrastar con el texto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quien arma el mapa de fuentes de su área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Cuál fuente prevalece, qué contexto necesita la IA, riesgo de prellenar sin revisar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Taller 5 · Adopción de la IA en el equipo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IA prepara, la persona decide y el área responde.</w:t>
            </w:r>
          </w:p>
        </w:tc>
      </w:tr>
    </w:tbl>
    <w:p>
      <w:pPr>
        <w:spacing w:after="30" w:before="1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Lo que no puede faltar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Dónde ayuda y dónde conviene que decida una persona.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 matriz de responsabilidad aplicada a un proceso del área.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Sesgo y verificación: cuando la herramienta aprende de las decisiones de siempre.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Por qué la gente dice que no tiene tiempo, y cómo se ve una adopción real.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Cómo enseñarle a un compañero en cinco minutos.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cantSplit/>
        </w:trPr>
        <w:tc>
          <w:tcPr>
            <w:tcW w:type="dxa" w:w="34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Demostración</w:t>
            </w:r>
          </w:p>
        </w:tc>
        <w:tc>
          <w:tcPr>
            <w:tcW w:type="dxa" w:w="334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Ejercicio</w:t>
            </w:r>
          </w:p>
        </w:tc>
        <w:tc>
          <w:tcPr>
            <w:tcW w:type="dxa" w:w="334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Foco de la evaluación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Asignar los seis roles en un proceso del área y corregir una salida con sesgo evidente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quien arma la matriz de un proceso suyo y prepara una explicación de cinco minutos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Asignar responsabilidades, reconocer una salida sesgada, elegir cómo enseñar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Taller 6 · Proyecto de mejora con 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Sin medir el antes, no hay forma de demostrar la mejora.</w:t>
            </w:r>
          </w:p>
        </w:tc>
      </w:tr>
    </w:tbl>
    <w:p>
      <w:pPr>
        <w:spacing w:after="30" w:before="1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Lo que no puede faltar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De la queja al reto: el formato «Cómo podríamos».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Cómo medir la línea base con los ejemplos del área.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 ficha del caso completa.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Cuánto cuesta hoy y cuánto se ahorra.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El pitch de tres minutos y el paso al Banco de Retos.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cantSplit/>
        </w:trPr>
        <w:tc>
          <w:tcPr>
            <w:tcW w:type="dxa" w:w="34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Demostración</w:t>
            </w:r>
          </w:p>
        </w:tc>
        <w:tc>
          <w:tcPr>
            <w:tcW w:type="dxa" w:w="334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Ejercicio</w:t>
            </w:r>
          </w:p>
        </w:tc>
        <w:tc>
          <w:tcPr>
            <w:tcW w:type="dxa" w:w="334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Foco de la evaluación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Medir en vivo un caso real, como los indicadores que toman dos semanas al mes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quien formula su pregunta y define cómo medirá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Reto bien formulado, dato de línea base, estimación sostenible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4 · ESTÁNDARES DE LA PRESENTACIÓN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78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Marca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Negro #0D0D0C de fondo o blanco limpio; amarillo #FCC800 solo para resaltar la acción o el dato clave. Sobre amarillo, texto negro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Tipografía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Titulares en Barlow Condensed en mayúsculas; cuerpo en Atkinson Hyperlegible Next. Tamaño mínimo legible en celular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Densidad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Una idea por diapositiva. Máximo seis líneas de texto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Imágenes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Capturas reales del trabajo, no fotos de archivo ni ilustraciones genéricas de robots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Datos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cifra de G&amp;J lleva su fuente: la mesa de trabajo o el área que la entregó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Cierre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última diapositiva siempre muestra el reto de la semana y la fecha del siguiente encuentro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Checklist de entrega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Presentación del encuentro 1 (18 a 24 diapositivas) y del encuentro 2 (10 a 14).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Guion de la demostración, paso a paso, con el caso elegido de la guía.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Instrucciones del ejercicio de práctica y el prompt de partida.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Tres o cuatro prompts para el kit del participante.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Las diez preguntas de la evaluación con su clave, siguiendo el foco de esta guía.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Todo entregado dos semanas antes del primer encuentro.</w:t>
      </w:r>
    </w:p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FF9E0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EL ERROR MÁS FRECUENTE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Llenar el encuentro 1 de teoría y dejar la práctica para el final, que es cuando se acaba el tiempo. La demostración y la práctica ocupan 40 de los 90 minutos: esa proporción no se negocia.</w:t>
            </w:r>
          </w:p>
        </w:tc>
      </w:tr>
    </w:tbl>
    <w:sectPr>
      <w:headerReference w:type="default" r:id="rId7"/>
      <w:footerReference w:type="default" r:id="rId8"/>
      <w:headerReference w:type="first" r:id="rId10"/>
      <w:footerReference w:type="first" r:id="rId11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9" w:sz="4"/>
      </w:pBdr>
      <w:spacing w:before="60"/>
    </w:pPr>
    <w:r>
      <w:rPr>
        <w:rFonts w:ascii="Atkinson Hyperlegible Next" w:cs="Atkinson Hyperlegible Next" w:eastAsia="Atkinson Hyperlegible Next" w:hAnsi="Atkinson Hyperlegible Next"/>
        <w:i/>
        <w:iCs/>
        <w:color w:val="74746E"/>
        <w:sz w:val="14"/>
        <w:szCs w:val="14"/>
      </w:rPr>
      <w:t xml:space="preserve">Pivot Power · documento interno · octubre de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CC800" w:sz="6"/>
      </w:pBdr>
      <w:spacing w:after="60"/>
    </w:pPr>
    <w:r>
      <w:rPr>
        <w:rFonts w:ascii="Atkinson Hyperlegible Next" w:cs="Atkinson Hyperlegible Next" w:eastAsia="Atkinson Hyperlegible Next" w:hAnsi="Atkinson Hyperlegible Next"/>
        <w:color w:val="8A6B00"/>
        <w:sz w:val="15"/>
        <w:szCs w:val="15"/>
      </w:rPr>
      <w:t xml:space="preserve">SUPER HUMANOS · Guía de contenido · perfil administrativo</w:t>
    </w:r>
    <w:r>
      <w:rPr>
        <w:rFonts w:ascii="Atkinson Hyperlegible Next" w:cs="Atkinson Hyperlegible Next" w:eastAsia="Atkinson Hyperlegible Next" w:hAnsi="Atkinson Hyperlegible Next"/>
        <w:color w:val="0D0D0C"/>
        <w:sz w:val="15"/>
        <w:szCs w:val="15"/>
      </w:rPr>
      <w:t xml:space="preserve">   |   Para los docentes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tkinson Hyperlegible Next" w:cs="Atkinson Hyperlegible Next" w:eastAsia="Atkinson Hyperlegible Next" w:hAnsi="Atkinson Hyperlegible Next"/>
        <w:color w:val="0D0D0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2026-10-03T02:44:06.347Z</dcterms:created>
  <dcterms:modified xsi:type="dcterms:W3CDTF">2026-10-03T02:44:06.351Z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