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500" w:before="600"/>
      </w:pPr>
      <w:r>
        <w:drawing>
          <wp:inline distT="0" distB="0" distL="0" distR="0">
            <wp:extent cx="2190750" cy="5905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59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00"/>
      </w:pPr>
      <w:r>
        <w:rPr>
          <w:rFonts w:ascii="Barlow Condensed" w:cs="Barlow Condensed" w:eastAsia="Barlow Condensed" w:hAnsi="Barlow Condensed"/>
          <w:b/>
          <w:bCs/>
          <w:color w:val="8A6B00"/>
          <w:spacing w:val="60"/>
          <w:sz w:val="28"/>
          <w:szCs w:val="28"/>
        </w:rPr>
        <w:t xml:space="preserve">SUPER HUMANOS</w:t>
      </w:r>
    </w:p>
    <w:p>
      <w:pPr>
        <w:spacing w:after="200"/>
      </w:pPr>
      <w:r>
        <w:rPr>
          <w:rFonts w:ascii="Barlow Condensed" w:cs="Barlow Condensed" w:eastAsia="Barlow Condensed" w:hAnsi="Barlow Condensed"/>
          <w:b/>
          <w:bCs/>
          <w:color w:val="0D0D0C"/>
          <w:sz w:val="64"/>
          <w:szCs w:val="64"/>
        </w:rPr>
        <w:t xml:space="preserve">RESUMEN DEL DIAGNÓSTICO</w:t>
      </w:r>
    </w:p>
    <w:p>
      <w:pPr>
        <w:spacing w:after="300"/>
      </w:pPr>
      <w:r>
        <w:rPr>
          <w:rFonts w:ascii="Barlow Condensed" w:cs="Barlow Condensed" w:eastAsia="Barlow Condensed" w:hAnsi="Barlow Condensed"/>
          <w:b/>
          <w:bCs/>
          <w:color w:val="0D0D0C"/>
          <w:sz w:val="32"/>
          <w:szCs w:val="32"/>
        </w:rPr>
        <w:t xml:space="preserve">PERFIL ADMINISTRATIVO · LO QUE TRAE EL GRUPO AL PRIMER TALLER</w:t>
      </w:r>
    </w:p>
    <w:p>
      <w:pPr>
        <w:spacing w:after="120" w:line="300"/>
        <w:rPr>
          <w:color w:val="56564F"/>
        </w:rPr>
      </w:pPr>
      <w:r>
        <w:rPr>
          <w:rFonts w:ascii="Atkinson Hyperlegible Next" w:cs="Atkinson Hyperlegible Next" w:eastAsia="Atkinson Hyperlegible Next" w:hAnsi="Atkinson Hyperlegible Next"/>
          <w:color w:val="56564F"/>
          <w:sz w:val="21"/>
          <w:szCs w:val="21"/>
        </w:rPr>
        <w:t xml:space="preserve">Diagnóstico inicial con corte del 14 de octubre de 2026 · instrumento de 38 preguntas · resultados agregados del perfil</w:t>
      </w:r>
    </w:p>
    <w:p>
      <w:pPr>
        <w:spacing w:after="120"/>
      </w:pP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72"/>
      </w:tblGrid>
      <w:tr>
        <w:tc>
          <w:tcPr>
            <w:tcW w:type="dxa" w:w="9972"/>
            <w:tcBorders>
              <w:top w:val="none" w:color="FFFFFF" w:sz="0"/>
              <w:left w:val="single" w:color="FCC800" w:sz="36"/>
              <w:bottom w:val="none" w:color="FFFFFF" w:sz="0"/>
              <w:right w:val="none" w:color="FFFFFF" w:sz="0"/>
            </w:tcBorders>
            <w:shd w:fill="F7F7F5" w:color="F7F7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24"/>
                <w:szCs w:val="24"/>
              </w:rPr>
              <w:t xml:space="preserve">PARA QUÉ SIRVE ESTE DOCUMENTO</w:t>
            </w:r>
          </w:p>
          <w:p>
            <w:pPr>
              <w:spacing w:after="60" w:line="28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20"/>
                <w:szCs w:val="20"/>
              </w:rPr>
              <w:t xml:space="preserve">Resume lo que el diagnóstico encontró en el perfil administrativo y lo convierte en decisiones para tus talleres. Trae solo cifras agregadas. Los resultados por persona quedan con la dirección del programa.</w:t>
            </w:r>
          </w:p>
        </w:tc>
      </w:tr>
    </w:tbl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1 · QUIÉN RESPONDIÓ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282 de 496 personas respondieron, 57 % del perfil. Todas tienen índice completo.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G&amp;J Ferreterías aporta 80 de las 282 respuestas; siguen Colmena (58), G&amp;J Soluciones (45), Almasa (45), Sigmasteel (44) y G&amp;J Ramírez (10). El grueso de quienes faltan está en G&amp;J Ferreterías.</w:t>
      </w:r>
    </w:p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2 · LOS ÍNDICES DEL PERFIL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El índice de dominio combina tres ejes ponderados. La mentalidad se mide aparte, en escala de 1 a 5 llevada a base 100.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986"/>
        <w:gridCol w:w="1994"/>
        <w:gridCol w:w="2992"/>
      </w:tblGrid>
      <w:tr>
        <w:trPr>
          <w:tblHeader/>
        </w:trPr>
        <w:tc>
          <w:tcPr>
            <w:tcW w:type="dxa" w:w="498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EJE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PESO</w:t>
            </w:r>
          </w:p>
        </w:tc>
        <w:tc>
          <w:tcPr>
            <w:tcW w:type="dxa" w:w="299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RESULTADO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Casos situacionales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40 %</w:t>
            </w:r>
          </w:p>
        </w:tc>
        <w:tc>
          <w:tcPr>
            <w:tcW w:type="dxa" w:w="299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88,7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Herramientas digitales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35 %</w:t>
            </w:r>
          </w:p>
        </w:tc>
        <w:tc>
          <w:tcPr>
            <w:tcW w:type="dxa" w:w="299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86,2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Uso actual de IA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25 %</w:t>
            </w:r>
          </w:p>
        </w:tc>
        <w:tc>
          <w:tcPr>
            <w:tcW w:type="dxa" w:w="299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56,8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Índice de dominio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100 %</w:t>
            </w:r>
          </w:p>
        </w:tc>
        <w:tc>
          <w:tcPr>
            <w:tcW w:type="dxa" w:w="299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79,9</w:t>
            </w:r>
          </w:p>
        </w:tc>
      </w:tr>
      <w:tr>
        <w:trPr>
          <w:cantSplit/>
        </w:trPr>
        <w:tc>
          <w:tcPr>
            <w:tcW w:type="dxa" w:w="4986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Índice de mentalidad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aparte</w:t>
            </w:r>
          </w:p>
        </w:tc>
        <w:tc>
          <w:tcPr>
            <w:tcW w:type="dxa" w:w="2992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77,1</w:t>
            </w:r>
          </w:p>
        </w:tc>
      </w:tr>
    </w:tbl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El uso de IA queda treinta puntos por debajo de los otros dos ejes. El perfil resuelve bien los casos de su trabajo y maneja las herramientas digitales; lo que falta es el uso de IA con método.</w:t>
      </w:r>
    </w:p>
    <w:p>
      <w:pPr>
        <w:spacing w:after="120" w:line="300"/>
        <w:rPr>
          <w:color w:val="56564F"/>
        </w:rPr>
      </w:pPr>
      <w:r>
        <w:rPr>
          <w:rFonts w:ascii="Atkinson Hyperlegible Next" w:cs="Atkinson Hyperlegible Next" w:eastAsia="Atkinson Hyperlegible Next" w:hAnsi="Atkinson Hyperlegible Next"/>
          <w:color w:val="56564F"/>
          <w:sz w:val="21"/>
          <w:szCs w:val="21"/>
        </w:rPr>
        <w:t xml:space="preserve">El instrumento usa casos distintos para cada perfil. El índice sirve para comparar personas dentro del perfil y para medir a cada persona contra sí misma al cierre.</w:t>
      </w:r>
    </w:p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3 · QUÉ RESOLVIÓ BIEN Y QUÉ RESOLVIÓ MAL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Acierto por situación, de menor a mayor. Las que quedan por debajo del 75 % son el insumo directo de tus casos de clase.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197"/>
        <w:gridCol w:w="6980"/>
        <w:gridCol w:w="1795"/>
      </w:tblGrid>
      <w:tr>
        <w:trPr>
          <w:tblHeader/>
        </w:trPr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ÍTEM</w:t>
            </w:r>
          </w:p>
        </w:tc>
        <w:tc>
          <w:tcPr>
            <w:tcW w:type="dxa" w:w="698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SITUACIÓN PLANTEADA</w:t>
            </w:r>
          </w:p>
        </w:tc>
        <w:tc>
          <w:tcPr>
            <w:tcW w:type="dxa" w:w="17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ACIERTO</w:t>
            </w:r>
          </w:p>
        </w:tc>
      </w:tr>
      <w:tr>
        <w:trPr>
          <w:cantSplit/>
        </w:trPr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D_5</w:t>
            </w:r>
          </w:p>
        </w:tc>
        <w:tc>
          <w:tcPr>
            <w:tcW w:type="dxa" w:w="698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Estructura para presentar resultados del trimestre en 10 minutos</w:t>
            </w:r>
          </w:p>
        </w:tc>
        <w:tc>
          <w:tcPr>
            <w:tcW w:type="dxa" w:w="17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74,8 %</w:t>
            </w:r>
          </w:p>
        </w:tc>
      </w:tr>
      <w:tr>
        <w:trPr>
          <w:cantSplit/>
        </w:trPr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S_5</w:t>
            </w:r>
          </w:p>
        </w:tc>
        <w:tc>
          <w:tcPr>
            <w:tcW w:type="dxa" w:w="698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El ingreso de cada persona exige 30 firmas en papel</w:t>
            </w:r>
          </w:p>
        </w:tc>
        <w:tc>
          <w:tcPr>
            <w:tcW w:type="dxa" w:w="17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78,4 %</w:t>
            </w:r>
          </w:p>
        </w:tc>
      </w:tr>
      <w:tr>
        <w:trPr>
          <w:cantSplit/>
        </w:trPr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D_1</w:t>
            </w:r>
          </w:p>
        </w:tc>
        <w:tc>
          <w:tcPr>
            <w:tcW w:type="dxa" w:w="698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Construir un documento entre cuatro personas</w:t>
            </w:r>
          </w:p>
        </w:tc>
        <w:tc>
          <w:tcPr>
            <w:tcW w:type="dxa" w:w="17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79,8 %</w:t>
            </w:r>
          </w:p>
        </w:tc>
      </w:tr>
      <w:tr>
        <w:trPr>
          <w:cantSplit/>
        </w:trPr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S_1</w:t>
            </w:r>
          </w:p>
        </w:tc>
        <w:tc>
          <w:tcPr>
            <w:tcW w:type="dxa" w:w="698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Dos horas cada lunes consolidando el reporte de cinco archivos</w:t>
            </w:r>
          </w:p>
        </w:tc>
        <w:tc>
          <w:tcPr>
            <w:tcW w:type="dxa" w:w="17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86,2 %</w:t>
            </w:r>
          </w:p>
        </w:tc>
      </w:tr>
      <w:tr>
        <w:trPr>
          <w:cantSplit/>
        </w:trPr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D_4</w:t>
            </w:r>
          </w:p>
        </w:tc>
        <w:tc>
          <w:tcPr>
            <w:tcW w:type="dxa" w:w="698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Lista con el mismo cliente escrito de formas distintas</w:t>
            </w:r>
          </w:p>
        </w:tc>
        <w:tc>
          <w:tcPr>
            <w:tcW w:type="dxa" w:w="17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89,4 %</w:t>
            </w:r>
          </w:p>
        </w:tc>
      </w:tr>
      <w:tr>
        <w:trPr>
          <w:cantSplit/>
        </w:trPr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S_2</w:t>
            </w:r>
          </w:p>
        </w:tc>
        <w:tc>
          <w:tcPr>
            <w:tcW w:type="dxa" w:w="698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Dos informes con cifras distintas de devoluciones del mismo mes</w:t>
            </w:r>
          </w:p>
        </w:tc>
        <w:tc>
          <w:tcPr>
            <w:tcW w:type="dxa" w:w="17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91,5 %</w:t>
            </w:r>
          </w:p>
        </w:tc>
      </w:tr>
      <w:tr>
        <w:trPr>
          <w:cantSplit/>
        </w:trPr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S_3</w:t>
            </w:r>
          </w:p>
        </w:tc>
        <w:tc>
          <w:tcPr>
            <w:tcW w:type="dxa" w:w="698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Informe en 20 minutos sin alcanzar a verificar una cifra</w:t>
            </w:r>
          </w:p>
        </w:tc>
        <w:tc>
          <w:tcPr>
            <w:tcW w:type="dxa" w:w="17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91,5 %</w:t>
            </w:r>
          </w:p>
        </w:tc>
      </w:tr>
      <w:tr>
        <w:trPr>
          <w:cantSplit/>
        </w:trPr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D_3</w:t>
            </w:r>
          </w:p>
        </w:tc>
        <w:tc>
          <w:tcPr>
            <w:tcW w:type="dxa" w:w="698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500 ventas del mes y hay que filtrar por UNE</w:t>
            </w:r>
          </w:p>
        </w:tc>
        <w:tc>
          <w:tcPr>
            <w:tcW w:type="dxa" w:w="17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92,9 %</w:t>
            </w:r>
          </w:p>
        </w:tc>
      </w:tr>
      <w:tr>
        <w:trPr>
          <w:cantSplit/>
        </w:trPr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D_2</w:t>
            </w:r>
          </w:p>
        </w:tc>
        <w:tc>
          <w:tcPr>
            <w:tcW w:type="dxa" w:w="698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Piden por WhatsApp la cédula y el teléfono de un cliente</w:t>
            </w:r>
          </w:p>
        </w:tc>
        <w:tc>
          <w:tcPr>
            <w:tcW w:type="dxa" w:w="17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94,3 %</w:t>
            </w:r>
          </w:p>
        </w:tc>
      </w:tr>
      <w:tr>
        <w:trPr>
          <w:cantSplit/>
        </w:trPr>
        <w:tc>
          <w:tcPr>
            <w:tcW w:type="dxa" w:w="1197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S_4</w:t>
            </w:r>
          </w:p>
        </w:tc>
        <w:tc>
          <w:tcPr>
            <w:tcW w:type="dxa" w:w="698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PQR que necesita información de producción de otra sede</w:t>
            </w:r>
          </w:p>
        </w:tc>
        <w:tc>
          <w:tcPr>
            <w:tcW w:type="dxa" w:w="17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96,1 %</w:t>
            </w:r>
          </w:p>
        </w:tc>
      </w:tr>
    </w:tbl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Ningún ítem baja del 74 %. Los dos más bajos piden comunicar y rediseñar un proceso: estructurar una presentación corta y repensar un trámite de 30 firmas. El taller gana más trabajando el criterio de qué contar y qué eliminar que explicando herramientas.</w:t>
      </w:r>
    </w:p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4 · CÓMO USA LA IA HOY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983"/>
        <w:gridCol w:w="1994"/>
        <w:gridCol w:w="1995"/>
      </w:tblGrid>
      <w:tr>
        <w:trPr>
          <w:tblHeader/>
        </w:trPr>
        <w:tc>
          <w:tcPr>
            <w:tcW w:type="dxa" w:w="598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USO DE IA EN EL ÚLTIMO MES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PERSONAS</w:t>
            </w:r>
          </w:p>
        </w:tc>
        <w:tc>
          <w:tcPr>
            <w:tcW w:type="dxa" w:w="19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598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Ninguna vez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59</w:t>
            </w:r>
          </w:p>
        </w:tc>
        <w:tc>
          <w:tcPr>
            <w:tcW w:type="dxa" w:w="19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21 %</w:t>
            </w:r>
          </w:p>
        </w:tc>
      </w:tr>
      <w:tr>
        <w:trPr>
          <w:cantSplit/>
        </w:trPr>
        <w:tc>
          <w:tcPr>
            <w:tcW w:type="dxa" w:w="598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Una o dos veces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69</w:t>
            </w:r>
          </w:p>
        </w:tc>
        <w:tc>
          <w:tcPr>
            <w:tcW w:type="dxa" w:w="19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24 %</w:t>
            </w:r>
          </w:p>
        </w:tc>
      </w:tr>
      <w:tr>
        <w:trPr>
          <w:cantSplit/>
        </w:trPr>
        <w:tc>
          <w:tcPr>
            <w:tcW w:type="dxa" w:w="598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Una vez por semana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38</w:t>
            </w:r>
          </w:p>
        </w:tc>
        <w:tc>
          <w:tcPr>
            <w:tcW w:type="dxa" w:w="19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13 %</w:t>
            </w:r>
          </w:p>
        </w:tc>
      </w:tr>
      <w:tr>
        <w:trPr>
          <w:cantSplit/>
        </w:trPr>
        <w:tc>
          <w:tcPr>
            <w:tcW w:type="dxa" w:w="598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Varias veces por semana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81</w:t>
            </w:r>
          </w:p>
        </w:tc>
        <w:tc>
          <w:tcPr>
            <w:tcW w:type="dxa" w:w="19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29 %</w:t>
            </w:r>
          </w:p>
        </w:tc>
      </w:tr>
      <w:tr>
        <w:trPr>
          <w:cantSplit/>
        </w:trPr>
        <w:tc>
          <w:tcPr>
            <w:tcW w:type="dxa" w:w="598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Todos los días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35</w:t>
            </w:r>
          </w:p>
        </w:tc>
        <w:tc>
          <w:tcPr>
            <w:tcW w:type="dxa" w:w="19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12 %</w:t>
            </w:r>
          </w:p>
        </w:tc>
      </w:tr>
    </w:tbl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En el programa, 50 % usa la IA con cuenta personal y 15 % con la cuenta de la empresa. ChatGPT llega al 74 % de quienes la usan y Gemini al 47 %. Los usos se concentran en buscar información y redactar; analizar datos llega al 26 % y resumir documentos al 19 %.</w:t>
      </w:r>
    </w:p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5 · CÓMO TRABAJA HOY</w:t>
      </w:r>
    </w:p>
    <w:p>
      <w:pPr>
        <w:keepNext/>
        <w:spacing w:after="60" w:before="60"/>
      </w:pPr>
      <w:r>
        <w:rPr>
          <w:rFonts w:ascii="Barlow Condensed" w:cs="Barlow Condensed" w:eastAsia="Barlow Condensed" w:hAnsi="Barlow Condensed"/>
          <w:b/>
          <w:bCs/>
          <w:color w:val="FCC800"/>
          <w:sz w:val="20"/>
          <w:szCs w:val="20"/>
        </w:rPr>
        <w:t xml:space="preserve">› </w:t>
      </w:r>
      <w:r>
        <w:rPr>
          <w:rFonts w:ascii="Barlow Condensed" w:cs="Barlow Condensed" w:eastAsia="Barlow Condensed" w:hAnsi="Barlow Condensed"/>
          <w:b/>
          <w:bCs/>
          <w:color w:val="8A6B00"/>
          <w:spacing w:val="40"/>
          <w:sz w:val="20"/>
          <w:szCs w:val="20"/>
        </w:rPr>
        <w:t xml:space="preserve">SEGUIMIENTO DE PENDIENTES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983"/>
        <w:gridCol w:w="1994"/>
        <w:gridCol w:w="1995"/>
      </w:tblGrid>
      <w:tr>
        <w:trPr>
          <w:tblHeader/>
        </w:trPr>
        <w:tc>
          <w:tcPr>
            <w:tcW w:type="dxa" w:w="598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DÓNDE LLEVA SUS PENDIENTES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PERSONAS</w:t>
            </w:r>
          </w:p>
        </w:tc>
        <w:tc>
          <w:tcPr>
            <w:tcW w:type="dxa" w:w="19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598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En un cuaderno o en papel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98</w:t>
            </w:r>
          </w:p>
        </w:tc>
        <w:tc>
          <w:tcPr>
            <w:tcW w:type="dxa" w:w="19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35 %</w:t>
            </w:r>
          </w:p>
        </w:tc>
      </w:tr>
      <w:tr>
        <w:trPr>
          <w:cantSplit/>
        </w:trPr>
        <w:tc>
          <w:tcPr>
            <w:tcW w:type="dxa" w:w="598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En el correo, marcando los mensajes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87</w:t>
            </w:r>
          </w:p>
        </w:tc>
        <w:tc>
          <w:tcPr>
            <w:tcW w:type="dxa" w:w="19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31 %</w:t>
            </w:r>
          </w:p>
        </w:tc>
      </w:tr>
      <w:tr>
        <w:trPr>
          <w:cantSplit/>
        </w:trPr>
        <w:tc>
          <w:tcPr>
            <w:tcW w:type="dxa" w:w="598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En un archivo propio de Excel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49</w:t>
            </w:r>
          </w:p>
        </w:tc>
        <w:tc>
          <w:tcPr>
            <w:tcW w:type="dxa" w:w="19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17 %</w:t>
            </w:r>
          </w:p>
        </w:tc>
      </w:tr>
      <w:tr>
        <w:trPr>
          <w:cantSplit/>
        </w:trPr>
        <w:tc>
          <w:tcPr>
            <w:tcW w:type="dxa" w:w="598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Los recuerda, sin anotarlos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26</w:t>
            </w:r>
          </w:p>
        </w:tc>
        <w:tc>
          <w:tcPr>
            <w:tcW w:type="dxa" w:w="19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9 %</w:t>
            </w:r>
          </w:p>
        </w:tc>
      </w:tr>
      <w:tr>
        <w:trPr>
          <w:cantSplit/>
        </w:trPr>
        <w:tc>
          <w:tcPr>
            <w:tcW w:type="dxa" w:w="598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En una herramienta de tareas compartida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22</w:t>
            </w:r>
          </w:p>
        </w:tc>
        <w:tc>
          <w:tcPr>
            <w:tcW w:type="dxa" w:w="19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8 %</w:t>
            </w:r>
          </w:p>
        </w:tc>
      </w:tr>
    </w:tbl>
    <w:p>
      <w:pPr>
        <w:spacing w:after="120"/>
      </w:pPr>
    </w:p>
    <w:p>
      <w:pPr>
        <w:keepNext/>
        <w:spacing w:after="60" w:before="60"/>
      </w:pPr>
      <w:r>
        <w:rPr>
          <w:rFonts w:ascii="Barlow Condensed" w:cs="Barlow Condensed" w:eastAsia="Barlow Condensed" w:hAnsi="Barlow Condensed"/>
          <w:b/>
          <w:bCs/>
          <w:color w:val="FCC800"/>
          <w:sz w:val="20"/>
          <w:szCs w:val="20"/>
        </w:rPr>
        <w:t xml:space="preserve">› </w:t>
      </w:r>
      <w:r>
        <w:rPr>
          <w:rFonts w:ascii="Barlow Condensed" w:cs="Barlow Condensed" w:eastAsia="Barlow Condensed" w:hAnsi="Barlow Condensed"/>
          <w:b/>
          <w:bCs/>
          <w:color w:val="8A6B00"/>
          <w:spacing w:val="40"/>
          <w:sz w:val="20"/>
          <w:szCs w:val="20"/>
        </w:rPr>
        <w:t xml:space="preserve">HORAS SEMANALES EN TAREAS DE PASOS SIEMPRE IGUALES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5983"/>
        <w:gridCol w:w="1994"/>
        <w:gridCol w:w="1995"/>
      </w:tblGrid>
      <w:tr>
        <w:trPr>
          <w:tblHeader/>
        </w:trPr>
        <w:tc>
          <w:tcPr>
            <w:tcW w:type="dxa" w:w="598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TIEMPO DECLARADO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PERSONAS</w:t>
            </w:r>
          </w:p>
        </w:tc>
        <w:tc>
          <w:tcPr>
            <w:tcW w:type="dxa" w:w="19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%</w:t>
            </w:r>
          </w:p>
        </w:tc>
      </w:tr>
      <w:tr>
        <w:trPr>
          <w:cantSplit/>
        </w:trPr>
        <w:tc>
          <w:tcPr>
            <w:tcW w:type="dxa" w:w="598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Menos de 2 horas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87</w:t>
            </w:r>
          </w:p>
        </w:tc>
        <w:tc>
          <w:tcPr>
            <w:tcW w:type="dxa" w:w="19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31 %</w:t>
            </w:r>
          </w:p>
        </w:tc>
      </w:tr>
      <w:tr>
        <w:trPr>
          <w:cantSplit/>
        </w:trPr>
        <w:tc>
          <w:tcPr>
            <w:tcW w:type="dxa" w:w="598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Entre 2 y 5 horas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106</w:t>
            </w:r>
          </w:p>
        </w:tc>
        <w:tc>
          <w:tcPr>
            <w:tcW w:type="dxa" w:w="19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38 %</w:t>
            </w:r>
          </w:p>
        </w:tc>
      </w:tr>
      <w:tr>
        <w:trPr>
          <w:cantSplit/>
        </w:trPr>
        <w:tc>
          <w:tcPr>
            <w:tcW w:type="dxa" w:w="598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Entre 5 y 10 horas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53</w:t>
            </w:r>
          </w:p>
        </w:tc>
        <w:tc>
          <w:tcPr>
            <w:tcW w:type="dxa" w:w="19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19 %</w:t>
            </w:r>
          </w:p>
        </w:tc>
      </w:tr>
      <w:tr>
        <w:trPr>
          <w:cantSplit/>
        </w:trPr>
        <w:tc>
          <w:tcPr>
            <w:tcW w:type="dxa" w:w="598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Más de 10 horas</w:t>
            </w:r>
          </w:p>
        </w:tc>
        <w:tc>
          <w:tcPr>
            <w:tcW w:type="dxa" w:w="1994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36</w:t>
            </w:r>
          </w:p>
        </w:tc>
        <w:tc>
          <w:tcPr>
            <w:tcW w:type="dxa" w:w="1995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13 %</w:t>
            </w:r>
          </w:p>
        </w:tc>
      </w:tr>
    </w:tbl>
    <w:p>
      <w:pPr>
        <w:spacing w:after="120"/>
      </w:pP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103 administrativos hacen informes que también hace otra área, o creen que sí.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Registro del trabajo: 104 personas usan el ERP UnoE y 72 archivos propios de Excel. 184 responden que el CRM no aplica a su cargo.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Política de IA: 114 administrativos, cerca del 40 %, no la han firmado o no sabían que existía.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48 personas del programa dicen que lo que saben de su trabajo no está escrito de forma que otra persona pueda continuarlo, y 79 rehacen en un archivo propio la información que ya está en el sistema.</w:t>
      </w:r>
    </w:p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6 · CONDICIONES PARA LOS ENCUENTROS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21 administrativos trabajan sin computador propio. En el programa, 66 personas tienen conexión intermitente o solo datos del celular y 142 reportan bloqueos totales o parciales a herramientas de IA desde la red.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La grabación en ecert es parte del diseño del taller. Cada práctica funciona en celular y la herramienta del encuentro es una sola, la autorizada por TIC.</w:t>
      </w:r>
    </w:p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7 · MENTALIDAD Y LO QUE ESPERA DE LA IA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Las afirmaciones más altas del programa: la gente busca la causa cuando algo falla (4,53 sobre 5) y resuelve con la otra área antes de escalar (4,48). Las más bajas: usar la información del sistema sin rehacerla en un archivo propio (3,61) y tener escrito lo que sabe de su trabajo (3,76).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329 personas escribieron qué esperan de la IA: ahorrar tiempo (38 %), organizar tareas y pendientes (23 %), atención al cliente, cotizaciones y ventas (14 %), automatizar lo repetitivo (11 %) y analizar datos (10 %).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Una respuesta para citar en la apertura: </w:t>
      </w:r>
      <w:r>
        <w:rPr>
          <w:rFonts w:ascii="Atkinson Hyperlegible Next" w:cs="Atkinson Hyperlegible Next" w:eastAsia="Atkinson Hyperlegible Next" w:hAnsi="Atkinson Hyperlegible Next"/>
          <w:b/>
          <w:bCs/>
          <w:color w:val="0D0D0C"/>
          <w:sz w:val="21"/>
          <w:szCs w:val="21"/>
        </w:rPr>
        <w:t xml:space="preserve">«Me gustaría aligerar las tareas, ganando tiempo y hacer uso adecuado del mismo. No me gusta que la IA reemplace mi pensar, análisis y criterio.»</w:t>
      </w: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 El programa enseña a delegar la ejecución repetitiva y a quedarse con el criterio.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En administrativo, el crecimiento o ascenso llega al 66 % y la certificación al 17 %. Úsalo al anunciar los puntos en la apertura y el cierre.</w:t>
      </w:r>
    </w:p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8 · LOS GRUPOS DEL PERFIL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Los grupos se arman con percentiles dentro del perfil para que queden parejos.</w:t>
      </w: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490"/>
        <w:gridCol w:w="3989"/>
        <w:gridCol w:w="2493"/>
      </w:tblGrid>
      <w:tr>
        <w:trPr>
          <w:tblHeader/>
        </w:trPr>
        <w:tc>
          <w:tcPr>
            <w:tcW w:type="dxa" w:w="34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GRUPO</w:t>
            </w:r>
          </w:p>
        </w:tc>
        <w:tc>
          <w:tcPr>
            <w:tcW w:type="dxa" w:w="398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CORTE DE DOMINIO</w:t>
            </w:r>
          </w:p>
        </w:tc>
        <w:tc>
          <w:tcPr>
            <w:tcW w:type="dxa" w:w="24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shd w:fill="0D0D0C" w:color="0D0D0C" w:val="clear"/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FCC800"/>
                <w:sz w:val="19"/>
                <w:szCs w:val="19"/>
              </w:rPr>
              <w:t xml:space="preserve">PERSONAS</w:t>
            </w:r>
          </w:p>
        </w:tc>
      </w:tr>
      <w:tr>
        <w:trPr>
          <w:cantSplit/>
        </w:trPr>
        <w:tc>
          <w:tcPr>
            <w:tcW w:type="dxa" w:w="34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G1 Arranque</w:t>
            </w:r>
          </w:p>
        </w:tc>
        <w:tc>
          <w:tcPr>
            <w:tcW w:type="dxa" w:w="398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menos de 74,4</w:t>
            </w:r>
          </w:p>
        </w:tc>
        <w:tc>
          <w:tcPr>
            <w:tcW w:type="dxa" w:w="24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70</w:t>
            </w:r>
          </w:p>
        </w:tc>
      </w:tr>
      <w:tr>
        <w:trPr>
          <w:cantSplit/>
        </w:trPr>
        <w:tc>
          <w:tcPr>
            <w:tcW w:type="dxa" w:w="34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G2 Base</w:t>
            </w:r>
          </w:p>
        </w:tc>
        <w:tc>
          <w:tcPr>
            <w:tcW w:type="dxa" w:w="398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74,4 a 83,2</w:t>
            </w:r>
          </w:p>
        </w:tc>
        <w:tc>
          <w:tcPr>
            <w:tcW w:type="dxa" w:w="24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70</w:t>
            </w:r>
          </w:p>
        </w:tc>
      </w:tr>
      <w:tr>
        <w:trPr>
          <w:cantSplit/>
        </w:trPr>
        <w:tc>
          <w:tcPr>
            <w:tcW w:type="dxa" w:w="34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G3 Avance</w:t>
            </w:r>
          </w:p>
        </w:tc>
        <w:tc>
          <w:tcPr>
            <w:tcW w:type="dxa" w:w="398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83,3 a 89,9</w:t>
            </w:r>
          </w:p>
        </w:tc>
        <w:tc>
          <w:tcPr>
            <w:tcW w:type="dxa" w:w="24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70</w:t>
            </w:r>
          </w:p>
        </w:tc>
      </w:tr>
      <w:tr>
        <w:trPr>
          <w:cantSplit/>
        </w:trPr>
        <w:tc>
          <w:tcPr>
            <w:tcW w:type="dxa" w:w="3490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G4 Referentes</w:t>
            </w:r>
          </w:p>
        </w:tc>
        <w:tc>
          <w:tcPr>
            <w:tcW w:type="dxa" w:w="3989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90 o más</w:t>
            </w:r>
          </w:p>
        </w:tc>
        <w:tc>
          <w:tcPr>
            <w:tcW w:type="dxa" w:w="2493"/>
            <w:tcBorders>
              <w:top w:val="single" w:color="DEDED9" w:sz="6"/>
              <w:left w:val="none" w:color="FFFFFF" w:sz="0"/>
              <w:bottom w:val="single" w:color="DEDED9" w:sz="6"/>
              <w:right w:val="none" w:color="FFFFFF" w:sz="0"/>
            </w:tcBorders>
            <w:tcMar>
              <w:top w:type="dxa" w:w="80"/>
              <w:left w:type="dxa" w:w="110"/>
              <w:bottom w:type="dxa" w:w="80"/>
              <w:right w:type="dxa" w:w="110"/>
            </w:tcMar>
          </w:tcPr>
          <w:p>
            <w:pPr>
              <w:spacing w:after="40" w:line="26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19"/>
                <w:szCs w:val="19"/>
              </w:rPr>
              <w:t xml:space="preserve">72</w:t>
            </w:r>
          </w:p>
        </w:tc>
      </w:tr>
    </w:tbl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Con los cortes absolutos del instrumento: 4 en Chispa, 19 en Impulso, 87 en Fuerza y 172 en Grandeza.</w:t>
      </w:r>
    </w:p>
    <w:p>
      <w:pPr>
        <w:spacing w:after="120" w:line="30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Los G4 Referentes apoyan a dos compañeros cada uno durante la práctica. 27 de los 43 candidatos a formador interno son administrativos. La asignación es provisional hasta que cierre la convocatoria.</w:t>
      </w:r>
    </w:p>
    <w:p>
      <w:pPr>
        <w:keepNext/>
        <w:spacing w:after="140" w:before="420"/>
      </w:pPr>
      <w:r>
        <w:rPr>
          <w:rFonts w:ascii="Barlow Condensed" w:cs="Barlow Condensed" w:eastAsia="Barlow Condensed" w:hAnsi="Barlow Condensed"/>
          <w:b/>
          <w:bCs/>
          <w:color w:val="0D0D0C"/>
          <w:sz w:val="40"/>
          <w:szCs w:val="40"/>
        </w:rPr>
        <w:t xml:space="preserve">9 · QUÉ CAMBIA EN TUS TALLERES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Taller 1: abre por la estructura de comunicar resultados, el ítem más bajo con 74,8 %. El resumen de cinco puntos de la demostración se convierte en lo que se presenta en diez minutos.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Taller 1: avanza al ritmo de quien nunca la abrió. 45 % del grupo usó IA una o dos veces o ninguna en el último mes.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Taller 2: cada persona anota cuánto le toma el reporte del mes antes de tocarlo. 89 administrativos dedican más de 5 horas semanales a tareas de pasos iguales.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Taller 3: el tablero de pendientes parte de cómo hacen seguimiento hoy: 185 en papel o marcando correos, 22 en una herramienta compartida.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Taller 4: inventario de reportes duplicados del área y guía de una página para lo que vive en la cabeza de alguien.</w:t>
      </w:r>
    </w:p>
    <w:p>
      <w:pPr>
        <w:pStyle w:val="ListParagraph"/>
        <w:numPr>
          <w:ilvl w:val="0"/>
          <w:numId w:val="2"/>
        </w:numPr>
        <w:spacing w:after="80" w:line="290"/>
      </w:pPr>
      <w:r>
        <w:rPr>
          <w:rFonts w:ascii="Atkinson Hyperlegible Next" w:cs="Atkinson Hyperlegible Next" w:eastAsia="Atkinson Hyperlegible Next" w:hAnsi="Atkinson Hyperlegible Next"/>
          <w:color w:val="0D0D0C"/>
          <w:sz w:val="21"/>
          <w:szCs w:val="21"/>
        </w:rPr>
        <w:t xml:space="preserve">Taller 6: el trámite de 30 firmas es el caso de rediseño. Es el segundo ítem más bajo, con 78,4 %.</w:t>
      </w:r>
    </w:p>
    <w:p>
      <w:pPr>
        <w:spacing w:after="120" w:line="300"/>
        <w:rPr>
          <w:color w:val="56564F"/>
        </w:rPr>
      </w:pPr>
      <w:r>
        <w:rPr>
          <w:rFonts w:ascii="Atkinson Hyperlegible Next" w:cs="Atkinson Hyperlegible Next" w:eastAsia="Atkinson Hyperlegible Next" w:hAnsi="Atkinson Hyperlegible Next"/>
          <w:color w:val="56564F"/>
          <w:sz w:val="21"/>
          <w:szCs w:val="21"/>
        </w:rPr>
        <w:t xml:space="preserve">El detalle taller por taller está en «Ajustes a los talleres · perfil administrativo», sección 4.</w:t>
      </w:r>
    </w:p>
    <w:p>
      <w:pPr>
        <w:spacing w:after="120"/>
      </w:pPr>
    </w:p>
    <w:tbl>
      <w:tblPr>
        <w:tblW w:type="dxa" w:w="99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972"/>
      </w:tblGrid>
      <w:tr>
        <w:tc>
          <w:tcPr>
            <w:tcW w:type="dxa" w:w="9972"/>
            <w:tcBorders>
              <w:top w:val="none" w:color="FFFFFF" w:sz="0"/>
              <w:left w:val="single" w:color="FCC800" w:sz="36"/>
              <w:bottom w:val="none" w:color="FFFFFF" w:sz="0"/>
              <w:right w:val="none" w:color="FFFFFF" w:sz="0"/>
            </w:tcBorders>
            <w:shd w:fill="F7F7F5" w:color="F7F7F5" w:val="clear"/>
            <w:tcMar>
              <w:top w:type="dxa" w:w="140"/>
              <w:left w:type="dxa" w:w="200"/>
              <w:bottom w:type="dxa" w:w="140"/>
              <w:right w:type="dxa" w:w="200"/>
            </w:tcMar>
          </w:tcPr>
          <w:p>
            <w:pPr>
              <w:spacing w:after="80"/>
            </w:pPr>
            <w:r>
              <w:rPr>
                <w:rFonts w:ascii="Barlow Condensed" w:cs="Barlow Condensed" w:eastAsia="Barlow Condensed" w:hAnsi="Barlow Condensed"/>
                <w:b/>
                <w:bCs/>
                <w:color w:val="0D0D0C"/>
                <w:sz w:val="24"/>
                <w:szCs w:val="24"/>
              </w:rPr>
              <w:t xml:space="preserve">ADVERTENCIA DE LECTURA</w:t>
            </w:r>
          </w:p>
          <w:p>
            <w:pPr>
              <w:spacing w:after="60" w:line="280"/>
            </w:pPr>
            <w:r>
              <w:rPr>
                <w:rFonts w:ascii="Atkinson Hyperlegible Next" w:cs="Atkinson Hyperlegible Next" w:eastAsia="Atkinson Hyperlegible Next" w:hAnsi="Atkinson Hyperlegible Next"/>
                <w:color w:val="0D0D0C"/>
                <w:sz w:val="20"/>
                <w:szCs w:val="20"/>
              </w:rPr>
              <w:t xml:space="preserve">Las cifras corresponden a quienes respondieron hasta el 14 de octubre. Respondieron primero las empresas con seguimiento cercano y las personas con computador y conexión estables. Al cerrar la convocatoria es razonable esperar índices algo más bajos y más personas sin dispositivo propio.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134" w:bottom="1100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600"/>
      </w:tabs>
    </w:pPr>
    <w:r>
      <w:rPr>
        <w:rFonts w:ascii="Atkinson Hyperlegible Next" w:cs="Atkinson Hyperlegible Next" w:eastAsia="Atkinson Hyperlegible Next" w:hAnsi="Atkinson Hyperlegible Next"/>
        <w:color w:val="56564F"/>
        <w:sz w:val="16"/>
        <w:szCs w:val="16"/>
      </w:rPr>
      <w:t xml:space="preserve">Pivot Power · 21 de octubre de 2026</w:t>
    </w:r>
    <w:r>
      <w:rPr>
        <w:rFonts w:ascii="Atkinson Hyperlegible Next" w:cs="Atkinson Hyperlegible Next" w:eastAsia="Atkinson Hyperlegible Next" w:hAnsi="Atkinson Hyperlegible Next"/>
        <w:sz w:val="16"/>
        <w:szCs w:val="16"/>
      </w:rPr>
      <w:t xml:space="preserve">	</w:t>
    </w:r>
    <w:r>
      <w:rPr>
        <w:rFonts w:ascii="Barlow Condensed" w:cs="Barlow Condensed" w:eastAsia="Barlow Condensed" w:hAnsi="Barlow Condensed"/>
        <w:b/>
        <w:bCs/>
        <w:color w:val="0D0D0C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Barlow Condensed" w:cs="Barlow Condensed" w:eastAsia="Barlow Condensed" w:hAnsi="Barlow Condensed"/>
        <w:b/>
        <w:bCs/>
        <w:color w:val="56564F"/>
        <w:spacing w:val="30"/>
        <w:sz w:val="17"/>
        <w:szCs w:val="17"/>
      </w:rPr>
      <w:t xml:space="preserve">SUPER HUMANOS · RESUMEN DEL DIAGNÓSTICO · PERFIL ADMINISTRATIVO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›"/>
      <w:lvlJc w:val="left"/>
      <w:pPr>
        <w:ind w:left="360" w:hanging="240"/>
      </w:pPr>
      <w:rPr>
        <w:rFonts w:ascii="Barlow Condensed" w:cs="Barlow Condensed" w:eastAsia="Barlow Condensed" w:hAnsi="Barlow Condensed"/>
        <w:b/>
        <w:bCs/>
        <w:color w:val="8A6B00"/>
        <w:sz w:val="24"/>
        <w:szCs w:val="24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tkinson Hyperlegible Next" w:cs="Atkinson Hyperlegible Next" w:eastAsia="Atkinson Hyperlegible Next" w:hAnsi="Atkinson Hyperlegible Next"/>
        <w:color w:val="0D0D0C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4f5b53f1a4111acfb3acee3588939653dc186f16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Resumen del diagnóstico · perfil administrativo</dc:title>
  <dc:creator>Pivot Power</dc:creator>
  <cp:lastModifiedBy>Un-named</cp:lastModifiedBy>
  <cp:revision>1</cp:revision>
  <dcterms:created xsi:type="dcterms:W3CDTF">2026-10-21T18:34:27.831Z</dcterms:created>
  <dcterms:modified xsi:type="dcterms:W3CDTF">2026-10-21T18:34:27.831Z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