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 w:before="1200"/>
      </w:pPr>
      <w:r>
        <w:rPr>
          <w:rFonts w:ascii="Barlow Condensed" w:cs="Barlow Condensed" w:eastAsia="Barlow Condensed" w:hAnsi="Barlow Condensed"/>
          <w:b/>
          <w:bCs/>
          <w:color w:val="8A6B00"/>
          <w:spacing w:val="60"/>
          <w:sz w:val="28"/>
          <w:szCs w:val="28"/>
        </w:rPr>
        <w:t xml:space="preserve">SUPER HUMANOS</w:t>
      </w:r>
    </w:p>
    <w:p>
      <w:pPr>
        <w:spacing w:after="200"/>
      </w:pPr>
      <w:r>
        <w:rPr>
          <w:rFonts w:ascii="Barlow Condensed" w:cs="Barlow Condensed" w:eastAsia="Barlow Condensed" w:hAnsi="Barlow Condensed"/>
          <w:b/>
          <w:bCs/>
          <w:color w:val="0D0D0C"/>
          <w:sz w:val="72"/>
          <w:szCs w:val="72"/>
        </w:rPr>
        <w:t xml:space="preserve">AJUSTES A LOS TALLERES</w:t>
      </w:r>
    </w:p>
    <w:p>
      <w:pPr>
        <w:spacing w:after="300"/>
      </w:pPr>
      <w:r>
        <w:rPr>
          <w:rFonts w:ascii="Barlow Condensed" w:cs="Barlow Condensed" w:eastAsia="Barlow Condensed" w:hAnsi="Barlow Condensed"/>
          <w:b/>
          <w:bCs/>
          <w:color w:val="0D0D0C"/>
          <w:sz w:val="34"/>
          <w:szCs w:val="34"/>
        </w:rPr>
        <w:t xml:space="preserve">PERFIL COMERCIAL · A PARTIR DEL DIAGNÓSTICO PARCIAL Y DE LA POLÍTICA DE USO DE IA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Diagnóstico con corte del 14 de octubre de 2026, resultados del perfil comercial. Política de uso de inteligencia artificial y gestión de riesgo de GYJ Ferreterías S.A., código TH-PT-003, versión 1.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Pivot Power · documento para el docente del perfil comercial · 19 de octubre de 2026 · fechas según el cronograma ajustado del 19 de octubre</w:t>
      </w:r>
    </w:p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QUÉ HACE ESTE DOCUMENTO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Cruza tres fuentes: los resultados del diagnóstico, la política de IA que firmó la gente y el temario de los seis talleres del perfil con su guía de contenido.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Propone los cambios taller por taller, con el lugar exacto del temario o de la guía donde se aplican y el dato que los sustenta.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Taller 1 arranca el viernes 23 de octubre a las 7:30. Los ajustes del Taller 1 entran completos en los dos encuentros, en el kit del participante y en los retos.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1 · LO QUE DICEN LOS DATOS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Las cifras del perfil comercial están en «Resumen del diagnóstico · perfil comercial», que acompaña este documento. Cada ajuste de las secciones 3 y 4 cita el dato que lo justifica.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2 · LO QUE EXIGE LA POLÍTICA Y DÓNDE TOCA EL TEMARIO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política TH-PT-003 fija reglas que el temario asumía de otra forma. Seis de ellas cambian cómo se enseña y con qué se practica.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291"/>
        <w:gridCol w:w="3291"/>
        <w:gridCol w:w="3390"/>
      </w:tblGrid>
      <w:tr>
        <w:trPr>
          <w:tblHeader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REGLA DE LA POLÍTICA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TOCA EL TEMARIO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AJUSTE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7.2 · Las cuentas personales de herramientas de IA quedan prohibidas para información de la empresa, salvo autorización expresa de Sistemas.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Sección 3, «Herramientas del programa»: ChatGPT, Gemini y NotebookLM «gratis con cuenta». El 50 % de quienes respondieron usa cuenta personal.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regla del programa pasa a ser: con cuenta personal solo se trabaja con el material del kit, sin datos de la empresa ni de personas. Con información real, solo la herramienta y la cuenta que TIC autorice por escrito.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7.2 y 7.3 · Nombres, cédulas, teléfonos, correos, direcciones y cargos de clientes, proveedores y colaboradores nunca entran a una herramienta no autorizada. Tampoco listados ni bases.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Demostración del T1 con un WhatsApp real. T2 con un export real de cartera. T4 con la nota de voz de una visita. T5 con un reclamo real.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Cada demostración usa el archivo del kit, anonimizado, o un archivo propio al que la persona le quitó los datos de identificación. La técnica de anonimizar en dos minutos se enseña en el Taller 1.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 y 7.3 · Antes de cargar un archivo o documento a una plataforma de IA hay que verificar con TIC que esté autorizada.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T4 con NotebookLM y procedimientos propios. Reto 17.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NotebookLM entra solo si TIC lo autoriza. Mientras tanto, el texto del procedimiento, sin datos personales, se pega en la herramienta autorizada.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5.5 y 6 · Validación humana obligatoria de todo resultado antes de usarlo o comunicarlo. 9 · Los líderes validan los resultados de su equipo antes de usarlos.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Regla «toda cifra se verifica», ya en el temario. Matriz de responsabilidad del T5.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regla se sostiene y se cita con el número de la política. En T5 el líder entra a la matriz como aprobador, porque la política le asigna ese rol.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5.4 · El uso de IA en contenidos o decisiones que afecten a clientes o colaboradores debe ser identificable y, cuando aplique, informado.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T5, respuestas al cliente.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 agrega la pregunta «¿hay que informar que esto lo apoyó una IA?» al banco de respuestas y a la matriz.</w:t>
            </w:r>
          </w:p>
        </w:tc>
      </w:tr>
      <w:tr>
        <w:trPr>
          <w:cantSplit/>
        </w:trPr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· La capacitación debe incluir principios éticos, riesgos de seguridad y datos, herramientas autorizadas y canales de consulta y reporte.</w:t>
            </w:r>
          </w:p>
        </w:tc>
        <w:tc>
          <w:tcPr>
            <w:tcW w:type="dxa" w:w="32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 «El marco de uso responsable» del T1.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bloque se reorganiza con esos cuatro contenidos, en ese orden. Así el Taller 1 cuenta como la capacitación que la política exige.</w:t>
            </w:r>
          </w:p>
        </w:tc>
      </w:tr>
    </w:tbl>
    <w:p>
      <w:pPr>
        <w:spacing w:after="120"/>
      </w:pP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ALCANCE DE LA POLÍTICA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documento está emitido por GYJ Ferreterías S.A. La dirección del programa confirmó el 14 de octubre que rige para las siete empresas. El Taller 1 la enseña como la regla de G&amp;J en todas.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3 · AJUSTES QUE APLICAN A LOS SEIS TALLERES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A · HERRAMIENTA Y CUENTA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sección 3 del temario, «Herramientas del programa», se reescribe. Texto propuesto para el párrafo de apertura y la regla: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972"/>
      </w:tblGrid>
      <w:tr>
        <w:tc>
          <w:tcPr>
            <w:tcW w:type="dxa" w:w="9972"/>
            <w:tcBorders>
              <w:top w:val="none" w:color="FFFFFF" w:sz="0"/>
              <w:left w:val="single" w:color="FCC800" w:sz="36"/>
              <w:bottom w:val="none" w:color="FFFFFF" w:sz="0"/>
              <w:right w:val="none" w:color="FFFFFF" w:sz="0"/>
            </w:tcBorders>
            <w:shd w:fill="F7F7F5" w:color="F7F7F5" w:val="clear"/>
            <w:tcMar>
              <w:top w:type="dxa" w:w="140"/>
              <w:left w:type="dxa" w:w="200"/>
              <w:bottom w:type="dxa" w:w="140"/>
              <w:right w:type="dxa" w:w="200"/>
            </w:tcMar>
          </w:tcPr>
          <w:p>
            <w:pPr>
              <w:spacing w:after="8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0D0D0C"/>
                <w:sz w:val="24"/>
                <w:szCs w:val="24"/>
              </w:rPr>
              <w:t xml:space="preserve">TEXTO NUEVO · SECCIÓN 3 DEL TEMARIO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El programa usa las herramientas que TIC autoriza por escrito, con la cuenta que la política de IA indica. La lista vigente va en el kit del docente y se actualiza cuando TIC la cambie.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Con una cuenta personal solo se trabaja con el material del kit: casos y archivos preparados por el programa, sin datos de la empresa ni de personas. Toda tarea con información real se hace en la herramienta y la cuenta autorizadas.</w:t>
            </w:r>
          </w:p>
          <w:p>
            <w:pPr>
              <w:spacing w:after="60" w:line="28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20"/>
                <w:szCs w:val="20"/>
              </w:rPr>
              <w:t xml:space="preserve">Antes de pegar cualquier texto o cargar cualquier archivo, la persona le quita nombres, cédulas, teléfonos, correos, direcciones y cargos. Esa es la primera práctica del Taller 1.</w:t>
            </w:r>
          </w:p>
        </w:tc>
      </w:tr>
    </w:tbl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B · MATERIAL DEL KIT EN LUGAR DE ARCHIVOS REALES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taller trae su archivo de práctica preparado por el programa, construido sobre los casos de las mesas, con datos ficticios. Lista mínima: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Un WhatsApp con 15 solicitudes de cotización de 5 a 20 ítems; una bandeja de 40 correos del lunes; un export de cartera con el mismo cliente escrito de tres formas; la nota de voz de una visita; un reclamo por retraso.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En el temario, cada ejercicio que dice «con un archivo propio» o «con una base propia» pasa a decir «con el archivo del kit o con uno propio sin datos de personas».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C · DOS RITMOS EN EL MISMO ENCUENTRO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G1 Arranque, 32 personas: el bloque «Primer contacto guiado» del T1 se extiende y el consultorio del Taller 1 se reserva para ellas. El docente las nombra al inicio y las invita en persona.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G4 Referentes, 34 personas: durante la práctica apoyan a dos compañeros cada una, como ya dice el temario. Los 16 candidatos comerciales a formador interno empiezan ahí su rol.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D · CELULAR, BLOQUEOS Y CONEXIÓN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Cada práctica tiene una versión para celular: el prompt se copia desde el kit en lugar de escribirlo, y la evidencia es una captura.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31 comerciales sin computador propio necesitan sala con equipo o una pareja de trabajo. Gestión Humana asigna el lugar antes de cada encuentro 1.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La grabación en la plataforma deja de ser opcional: 66 personas reportan conexión inestable.</w:t>
      </w:r>
    </w:p>
    <w:p>
      <w:pPr>
        <w:pStyle w:val="ListParagraph"/>
        <w:numPr>
          <w:ilvl w:val="0"/>
          <w:numId w:val="2"/>
        </w:numPr>
        <w:spacing w:after="80" w:line="29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Hasta que TIC confirme la lista de dominios habilitados, el docente lleva un plan B para los 142 con bloqueos: la demostración se sigue en pantalla compartida y la práctica se hace desde el celular con datos.</w:t>
      </w:r>
    </w:p>
    <w:p>
      <w:pPr>
        <w:keepNext/>
        <w:spacing w:after="60" w:before="60"/>
      </w:pPr>
      <w:r>
        <w:rPr>
          <w:rFonts w:ascii="Barlow Condensed" w:cs="Barlow Condensed" w:eastAsia="Barlow Condensed" w:hAnsi="Barlow Condensed"/>
          <w:b/>
          <w:bCs/>
          <w:color w:val="FCC800"/>
          <w:sz w:val="20"/>
          <w:szCs w:val="20"/>
        </w:rPr>
        <w:t xml:space="preserve">› </w:t>
      </w:r>
      <w:r>
        <w:rPr>
          <w:rFonts w:ascii="Barlow Condensed" w:cs="Barlow Condensed" w:eastAsia="Barlow Condensed" w:hAnsi="Barlow Condensed"/>
          <w:b/>
          <w:bCs/>
          <w:color w:val="8A6B00"/>
          <w:spacing w:val="40"/>
          <w:sz w:val="20"/>
          <w:szCs w:val="20"/>
        </w:rPr>
        <w:t xml:space="preserve">E · EL FORMATO «MI PROCESO» MIDE HORAS SEMANALES</w:t>
      </w:r>
    </w:p>
    <w:p>
      <w:pPr>
        <w:spacing w:after="120" w:line="300"/>
      </w:pPr>
      <w:r>
        <w:rPr>
          <w:rFonts w:ascii="Atkinson Hyperlegible Next" w:cs="Atkinson Hyperlegible Next" w:eastAsia="Atkinson Hyperlegible Next" w:hAnsi="Atkinson Hyperlegible Next"/>
          <w:color w:val="0D0D0C"/>
          <w:sz w:val="21"/>
          <w:szCs w:val="21"/>
        </w:rPr>
        <w:t xml:space="preserve">El diagnóstico estima 1.900 horas semanales de trabajo repetitivo en el programa. Para que esa cifra sirva al cierre, el formato pide minutos por vez y veces por semana, y el reporte mensual suma las horas liberadas. El campo ya existe en el formato; lo que cambia es que el docente lo exige lleno en cada encuentro 2.</w:t>
      </w:r>
    </w:p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4 · AJUSTES POR TALLER · COMERCIAL</w:t>
      </w:r>
    </w:p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1 · IA PARA EL ASESOR COMERCIAL</w:t>
      </w:r>
    </w:p>
    <w:p>
      <w:pPr>
        <w:spacing w:after="120" w:line="300"/>
        <w:rPr>
          <w:color w:val="56564F"/>
        </w:rPr>
      </w:pPr>
      <w:r>
        <w:rPr>
          <w:rFonts w:ascii="Atkinson Hyperlegible Next" w:cs="Atkinson Hyperlegible Next" w:eastAsia="Atkinson Hyperlegible Next" w:hAnsi="Atkinson Hyperlegible Next"/>
          <w:color w:val="56564F"/>
          <w:sz w:val="21"/>
          <w:szCs w:val="21"/>
        </w:rPr>
        <w:t xml:space="preserve">Encuentro 1 el viernes 23 de octubre, consultorio el miércoles 28, encuentro 2 el viernes 30. Los ajustes entran en los dos encuentros, en el kit y en la evaluación.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caso de clase es el de las 15 cotizaciones por WhatsApp: demostración en el encuentro 1 y primera instrucción reutilizable de cada persona en el encuentro 2, antes de pasar a una tarea propia.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bloques «Casos del rol comercial» y «Mi primera tarea con IA». Guía, demostración y «Encuentro 2 · aplicación».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S_1 con 27,8 % de acierto, el más bajo del diagnóstico. Aparece también en las respuestas abiertas.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segundo caso de clase es ordenar los 40 correos del lunes: extraer qué pide cada uno, quién y para cuándo, en una tabla.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«Casos del rol comercial»: «ordenar los pendientes del lunes» pasa de mención a ejercicio.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S_5 con 46,6 %.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Apertura del encuentro 1 con la política: los cuatro contenidos que exige el numeral 10, en diez minutos, y la firma pendiente resuelta en el mismo espacio con Gestión Humana.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«El marco de uso responsable de G&amp;J». Guía, bloque «Uso responsable».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63 comerciales de 135 sin firmar o sin saber de la política.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regla de cuenta se enseña con el dato: «la mitad de ustedes usa cuenta personal; con ella solo se practica con el material del kit».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Mismo bloque.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7.2. 50 % con cuenta personal.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Anonimizar en dos minutos: antes de pegar el WhatsApp, se reemplazan nombre y teléfono por «Cliente A». Se demuestra y se exige en toda práctica.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«Cómo se le habla a una IA», como paso previo. Guía, demostración, paso 2.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7.3. El mensaje real de la demostración trae nombre y número del cliente.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Evaluación: las preguntas 6 y 7 se escriben sobre casos de la política: un listado de clientes, la cédula de un comprador, el precio de una cotización, una ficha técnica pública.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«Qué debe medir la evaluación», filas 6 y 7.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7.2 y 7.3.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2 · INTELIGENCIA DE MERCADO CON 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 agrega un bloque de cierre: de la tabla al mensaje. Cómo contar los resultados del mes en diez minutos: qué pasó, por qué, qué propongo, qué necesito.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temáticas del T2 comercial, nuevo bloque antes de «Compartirlo». Guía, «Lo que no puede faltar».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D_5 con 60,9 %.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export de cartera de la demostración es el del kit, con clientes ficticios. El ejercicio «cada quien limpia una base propia» pasa a «una base propia sin nombres de clientes o la del kit».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demostración y ejercicio del T2 comercial.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7.3: listados de clientes no entran a herramientas no autorizadas.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clasificación de tareas con los seis destinos arranca con las horas semanales que cada persona declaró en el diagnóstico.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de los seis destinos.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52 comerciales dedican más de 5 horas semanales a tareas repetitivas.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3 · VENTA CONSULTIVA Y EXPERIENCIA DEL CLIENTE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Bloque nuevo: del cuaderno al tablero de cotizaciones. Qué convierte una solicitud en pendiente con responsable y fecha, y cómo verla en una herramienta compartida con el líder.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temáticas del T3 comercial, después de «la solicitud completa». Guía, «Lo que no puede faltar».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75 de 133 comerciales llevan pendientes en papel; 11 usan una herramienta compartida. Carolina pidió este taller.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bandeja de 40 correos del lunes es el caso de flujo: distinguir trabajo de espera y armar la solicitud completa desde ahí.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«recorrido del pedido».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S_5 con 46,6 %.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caso del pedido retenido por cartera se trabaja completo: causa, fecha nueva y alternativa, con la persona de cartera en el ejercicio.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Ya está en el temario. Sube a demostración principal.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S_4 con 73,7 %.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Construir un documento entre cuatro personas: coautoría en Word o Excel compartido en lugar de versiones por correo.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«la solicitud completa», como herramienta.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Ítem D_1 con 74,4 %.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4 · GESTIÓN COMERCIAL BASADA EN DATOS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Nivelación de CRM: antes del mapa de fuentes, veinte minutos con los 25 que se traban o no lo conocen, y los que «podrían enseñarlo» como apoyo.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«El CRM como memoria del área».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25 comerciales se traban o no conocen el CRM; 23 dicen que podrían enseñarlo. Salesforce entra después.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nota de voz de la visita se registra sin nombre ni teléfono del cliente; el registro completo va al CRM, que es el sistema autorizado.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demostración del T4 comercial.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Mensaje de apertura: la fuente oficial manda. Si el dato está en el CRM o en la lista de precios, se usa de ahí; el archivo propio es la excepción.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«mapa de fuentes».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79 personas rehacen en archivo propio lo que está en el sistema.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5 · ATENCIÓN AL CLIENTE EN CANALES DIGITALES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matriz de responsabilidad incluye al líder como aprobador de las respuestas que salen al cliente, con el número de la política.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 y guía, bloque de la matriz.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9: los líderes validan los resultados antes de su uso.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Se agrega al banco de respuestas la pregunta de transparencia: cuándo se informa que una respuesta tuvo apoyo de IA.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«Lo que no puede faltar».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5.4.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El reclamo de la demostración es el del kit; las respuestas base de cada persona se escriben sin datos del cliente.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Guía, demostración y ejercicio.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7.3.</w:t>
            </w:r>
          </w:p>
        </w:tc>
      </w:tr>
    </w:tbl>
    <w:p>
      <w:pPr>
        <w:keepNext/>
        <w:spacing w:after="100" w:before="280"/>
      </w:pPr>
      <w:r>
        <w:rPr>
          <w:rFonts w:ascii="Barlow Condensed" w:cs="Barlow Condensed" w:eastAsia="Barlow Condensed" w:hAnsi="Barlow Condensed"/>
          <w:b/>
          <w:bCs/>
          <w:color w:val="0D0D0C"/>
          <w:sz w:val="28"/>
          <w:szCs w:val="28"/>
        </w:rPr>
        <w:t xml:space="preserve">TALLER 6 · PROYECTO COMERCIAL CON IA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188"/>
        <w:gridCol w:w="2593"/>
        <w:gridCol w:w="3191"/>
      </w:tblGrid>
      <w:tr>
        <w:trPr>
          <w:tblHeader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QUÉ CAMBIA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DÓNDE SE CAMBIA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 · DATO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línea base de cada proyecto sale del formato «Mi proceso» acumulado: horas semanales antes y después.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«cómo medir la línea base».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1.900 horas semanales estimadas como denominador del programa.</w:t>
            </w:r>
          </w:p>
        </w:tc>
      </w:tr>
      <w:tr>
        <w:trPr>
          <w:cantSplit/>
        </w:trPr>
        <w:tc>
          <w:tcPr>
            <w:tcW w:type="dxa" w:w="4188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Los informes que comercial hace y otra área también hace son los primeros candidatos al Banco de Retos.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Temario, bloque «de la queja al reto».</w:t>
            </w:r>
          </w:p>
        </w:tc>
        <w:tc>
          <w:tcPr>
            <w:tcW w:type="dxa" w:w="3191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57 comerciales reportan informes duplicados.</w:t>
            </w:r>
          </w:p>
        </w:tc>
      </w:tr>
    </w:tbl>
    <w:p>
      <w:pPr>
        <w:keepNext/>
        <w:spacing w:after="140" w:before="420"/>
      </w:pPr>
      <w:r>
        <w:rPr>
          <w:rFonts w:ascii="Barlow Condensed" w:cs="Barlow Condensed" w:eastAsia="Barlow Condensed" w:hAnsi="Barlow Condensed"/>
          <w:b/>
          <w:bCs/>
          <w:color w:val="0D0D0C"/>
          <w:sz w:val="40"/>
          <w:szCs w:val="40"/>
        </w:rPr>
        <w:t xml:space="preserve">5 · RETOS DE LOS JUEVES QUE CAMBIAN</w:t>
      </w:r>
    </w:p>
    <w:tbl>
      <w:tblPr>
        <w:tblW w:type="dxa" w:w="997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596"/>
        <w:gridCol w:w="2593"/>
        <w:gridCol w:w="3390"/>
        <w:gridCol w:w="2393"/>
      </w:tblGrid>
      <w:tr>
        <w:trPr>
          <w:tblHeader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RETO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COMO ESTÁ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COMO QUEDA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shd w:fill="0D0D0C" w:color="0D0D0C" w:val="clear"/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Barlow Condensed" w:cs="Barlow Condensed" w:eastAsia="Barlow Condensed" w:hAnsi="Barlow Condensed"/>
                <w:b/>
                <w:bCs/>
                <w:color w:val="FCC800"/>
                <w:sz w:val="19"/>
                <w:szCs w:val="19"/>
              </w:rPr>
              <w:t xml:space="preserve">POR QUÉ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5 · 22 de octubre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Pídele a la IA un resumen de la política de IA de G&amp;J y verifica que sea fiel.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Lee la política y escribe tres datos de tu trabajo que nunca pegarías en una IA. Después pregúntale a la IA qué datos nunca debería recibir y compara las dos listas.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La política es un documento interno. Pegarla en una herramienta pública con cuenta personal contradice su numeral 7.2.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10 · 26 de noviembre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Limpia con IA una lista con nombres repetidos o mal escritos.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Limpia la lista del kit, o una propia a la que le quitaste nombres y contactos.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7.3.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17 · 28 de enero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Dale a la IA un documento oficial de tu área y hazle tres preguntas.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Dale a la IA un documento oficial de tu área sin datos de personas, en la herramienta autorizada, y hazle tres preguntas.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6 y 7.3.</w:t>
            </w:r>
          </w:p>
        </w:tc>
      </w:tr>
      <w:tr>
        <w:trPr>
          <w:cantSplit/>
        </w:trPr>
        <w:tc>
          <w:tcPr>
            <w:tcW w:type="dxa" w:w="1596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22 · 4 de marzo</w:t>
            </w:r>
          </w:p>
        </w:tc>
        <w:tc>
          <w:tcPr>
            <w:tcW w:type="dxa" w:w="25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Prepara con IA el acta de una reunión con decisiones, responsables y fechas.</w:t>
            </w:r>
          </w:p>
        </w:tc>
        <w:tc>
          <w:tcPr>
            <w:tcW w:type="dxa" w:w="3390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Igual, con los responsables escritos por cargo.</w:t>
            </w:r>
          </w:p>
        </w:tc>
        <w:tc>
          <w:tcPr>
            <w:tcW w:type="dxa" w:w="2393"/>
            <w:tcBorders>
              <w:top w:val="single" w:color="DEDED9" w:sz="6"/>
              <w:left w:val="none" w:color="FFFFFF" w:sz="0"/>
              <w:bottom w:val="single" w:color="DEDED9" w:sz="6"/>
              <w:right w:val="none" w:color="FFFFFF" w:sz="0"/>
            </w:tcBorders>
            <w:tcMar>
              <w:top w:type="dxa" w:w="80"/>
              <w:left w:type="dxa" w:w="110"/>
              <w:bottom w:type="dxa" w:w="80"/>
              <w:right w:type="dxa" w:w="110"/>
            </w:tcMar>
          </w:tcPr>
          <w:p>
            <w:pPr>
              <w:spacing w:after="40" w:line="260"/>
            </w:pPr>
            <w:r>
              <w:rPr>
                <w:rFonts w:ascii="Atkinson Hyperlegible Next" w:cs="Atkinson Hyperlegible Next" w:eastAsia="Atkinson Hyperlegible Next" w:hAnsi="Atkinson Hyperlegible Next"/>
                <w:color w:val="0D0D0C"/>
                <w:sz w:val="19"/>
                <w:szCs w:val="19"/>
              </w:rPr>
              <w:t xml:space="preserve">Política 7.3.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00" w:right="1134" w:bottom="11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600"/>
      </w:tabs>
    </w:pPr>
    <w:r>
      <w:rPr>
        <w:rFonts w:ascii="Atkinson Hyperlegible Next" w:cs="Atkinson Hyperlegible Next" w:eastAsia="Atkinson Hyperlegible Next" w:hAnsi="Atkinson Hyperlegible Next"/>
        <w:color w:val="56564F"/>
        <w:sz w:val="16"/>
        <w:szCs w:val="16"/>
      </w:rPr>
      <w:t xml:space="preserve">Pivot Power · documento de trabajo · 19 de octubre de 2026</w:t>
    </w:r>
    <w:r>
      <w:rPr>
        <w:rFonts w:ascii="Atkinson Hyperlegible Next" w:cs="Atkinson Hyperlegible Next" w:eastAsia="Atkinson Hyperlegible Next" w:hAnsi="Atkinson Hyperlegible Next"/>
        <w:sz w:val="16"/>
        <w:szCs w:val="16"/>
      </w:rPr>
      <w:t xml:space="preserve">	</w:t>
    </w:r>
    <w:r>
      <w:rPr>
        <w:rFonts w:ascii="Barlow Condensed" w:cs="Barlow Condensed" w:eastAsia="Barlow Condensed" w:hAnsi="Barlow Condensed"/>
        <w:b/>
        <w:bCs/>
        <w:color w:val="0D0D0C"/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Barlow Condensed" w:cs="Barlow Condensed" w:eastAsia="Barlow Condensed" w:hAnsi="Barlow Condensed"/>
        <w:b/>
        <w:bCs/>
        <w:color w:val="56564F"/>
        <w:spacing w:val="30"/>
        <w:sz w:val="17"/>
        <w:szCs w:val="17"/>
      </w:rPr>
      <w:t xml:space="preserve">SUPER HUMANOS · AJUSTES A LOS TALLERES · PERFIL COMERCIAL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›"/>
      <w:lvlJc w:val="left"/>
      <w:pPr>
        <w:ind w:left="360" w:hanging="240"/>
      </w:pPr>
      <w:rPr>
        <w:rFonts w:ascii="Barlow Condensed" w:cs="Barlow Condensed" w:eastAsia="Barlow Condensed" w:hAnsi="Barlow Condensed"/>
        <w:b/>
        <w:bCs/>
        <w:color w:val="8A6B00"/>
        <w:sz w:val="24"/>
        <w:szCs w:val="24"/>
      </w:r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tkinson Hyperlegible Next" w:cs="Atkinson Hyperlegible Next" w:eastAsia="Atkinson Hyperlegible Next" w:hAnsi="Atkinson Hyperlegible Next"/>
        <w:color w:val="0D0D0C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Ajustes a los talleres a partir del diagnóstico y la política de IA</dc:title>
  <dc:creator>Pivot Power</dc:creator>
  <cp:lastModifiedBy>Un-named</cp:lastModifiedBy>
  <cp:revision>1</cp:revision>
  <dcterms:created xsi:type="dcterms:W3CDTF">2026-10-21T18:36:00.547Z</dcterms:created>
  <dcterms:modified xsi:type="dcterms:W3CDTF">2026-10-21T18:36:00.548Z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