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pPr>
        <w:spacing w:after="50" w:before="40"/>
        <w:jc w:val="center"/>
      </w:pPr>
      <w:r>
        <w:rPr>
          <w:rFonts w:ascii="Atkinson Hyperlegible Next" w:cs="Atkinson Hyperlegible Next" w:eastAsia="Atkinson Hyperlegible Next" w:hAnsi="Atkinson Hyperlegible Next"/>
          <w:b/>
          <w:bCs/>
          <w:color w:val="8A6B00"/>
          <w:sz w:val="42"/>
          <w:szCs w:val="42"/>
        </w:rPr>
        <w:t xml:space="preserve">SUPER HUMANOS</w:t>
      </w:r>
    </w:p>
    <w:p>
      <w:pPr>
        <w:spacing w:after="50" w:before="40"/>
        <w:jc w:val="center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8"/>
          <w:szCs w:val="28"/>
        </w:rPr>
        <w:t xml:space="preserve">Guía de contenido por taller</w:t>
      </w:r>
    </w:p>
    <w:p>
      <w:pPr>
        <w:spacing w:after="240" w:before="40"/>
        <w:jc w:val="center"/>
      </w:pPr>
      <w:r>
        <w:rPr>
          <w:rFonts w:ascii="Atkinson Hyperlegible Next" w:cs="Atkinson Hyperlegible Next" w:eastAsia="Atkinson Hyperlegible Next" w:hAnsi="Atkinson Hyperlegible Next"/>
          <w:i/>
          <w:iCs/>
          <w:color w:val="3D3D38"/>
          <w:sz w:val="20"/>
          <w:szCs w:val="20"/>
        </w:rPr>
        <w:t xml:space="preserve">El puente entre el temario y lo que el docente construye</w:t>
      </w:r>
    </w:p>
    <w:p>
      <w:pPr>
        <w:spacing w:after="220" w:before="40"/>
        <w:jc w:val="center"/>
      </w:pPr>
      <w:r>
        <w:rPr>
          <w:rFonts w:ascii="Atkinson Hyperlegible Next" w:cs="Atkinson Hyperlegible Next" w:eastAsia="Atkinson Hyperlegible Next" w:hAnsi="Atkinson Hyperlegible Next"/>
          <w:color w:val="74746E"/>
          <w:sz w:val="18"/>
          <w:szCs w:val="18"/>
        </w:rPr>
        <w:t xml:space="preserve">Pivot Power · documento interno · octubre de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FF9E0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CÓMO USARLA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El temario dice qué se enseña. Esta guía dice cómo se arma: cuántas secciones tiene la presentación, qué va en cada una, cómo se estructura la demostración, qué ejercicio se hace y qué debe medir la evaluación.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El Taller 1 va completo, para los dos perfiles, como modelo. Los talleres 2 a 6 traen lo que cada uno debe cubrir sin falta.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El docente construye sobre esto. La líder instruccional revisa contra esto.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1 · LA ESTRUCTURA QUE SE REPITE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Los doce talleres tienen la misma arquitectura de contenido. Cambia el tema, no la forma.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Encuentro 1 · 90 minutos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500"/>
        <w:gridCol w:w="5580"/>
      </w:tblGrid>
      <w:tr>
        <w:trPr>
          <w:cantSplit/>
        </w:trPr>
        <w:tc>
          <w:tcPr>
            <w:tcW w:type="dxa" w:w="17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Sección</w:t>
            </w:r>
          </w:p>
        </w:tc>
        <w:tc>
          <w:tcPr>
            <w:tcW w:type="dxa" w:w="13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Minutos</w:t>
            </w:r>
          </w:p>
        </w:tc>
        <w:tc>
          <w:tcPr>
            <w:tcW w:type="dxa" w:w="15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Diapositivas</w:t>
            </w:r>
          </w:p>
        </w:tc>
        <w:tc>
          <w:tcPr>
            <w:tcW w:type="dxa" w:w="55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Qué contiene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Apertura</w:t>
            </w:r>
          </w:p>
        </w:tc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0 – 5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Bienvenida, pregunta rápida al chat y recordatorio de puntos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hábito del mes</w:t>
            </w:r>
          </w:p>
        </w:tc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5 – 15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 a 4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hábito contado con una historia real de G&amp;J. Termina con una pregunta abierta al grupo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concepto</w:t>
            </w:r>
          </w:p>
        </w:tc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15 – 45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8 a 12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idea del mes: qué es, cómo funciona, dónde se aplica en el rol. Una idea por diapositiva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demostración</w:t>
            </w:r>
          </w:p>
        </w:tc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45 – 65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 o 2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Pantalla compartida con la herramienta, no diapositivas. Un caso de la guía de casos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práctica</w:t>
            </w:r>
          </w:p>
        </w:tc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65 – 85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Instrucciones del ejercicio y el prompt de partida. El resto es trabajo del grupo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cierre</w:t>
            </w:r>
          </w:p>
        </w:tc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85 – 90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reto de la semana, el formato «Mi proceso» y la fecha del consultorio</w:t>
            </w:r>
          </w:p>
        </w:tc>
      </w:tr>
    </w:tbl>
    <w:p>
      <w:pPr>
        <w:spacing w:after="80" w:before="6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Entre 18 y 24 diapositivas en total. Más de 25 significa que hay teoría de sobra.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Encuentro 2 · 90 minutos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500"/>
        <w:gridCol w:w="5580"/>
      </w:tblGrid>
      <w:tr>
        <w:trPr>
          <w:cantSplit/>
        </w:trPr>
        <w:tc>
          <w:tcPr>
            <w:tcW w:type="dxa" w:w="17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Sección</w:t>
            </w:r>
          </w:p>
        </w:tc>
        <w:tc>
          <w:tcPr>
            <w:tcW w:type="dxa" w:w="13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Minutos</w:t>
            </w:r>
          </w:p>
        </w:tc>
        <w:tc>
          <w:tcPr>
            <w:tcW w:type="dxa" w:w="15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Diapositivas</w:t>
            </w:r>
          </w:p>
        </w:tc>
        <w:tc>
          <w:tcPr>
            <w:tcW w:type="dxa" w:w="55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contiene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Repaso</w:t>
            </w:r>
          </w:p>
        </w:tc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0 – 10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salió del reto de la semana y del consultorio. Dos o tres ejemplos del grupo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Aplicación</w:t>
            </w:r>
          </w:p>
        </w:tc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10 – 45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 a 4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Instrucciones del trabajo con el formato «Mi proceso» y una plantilla llena como ejemplo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Casos compartidos</w:t>
            </w:r>
          </w:p>
        </w:tc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45 – 70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Tres o cuatro personas muestran su pantalla. El docente retroalimenta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Cierre</w:t>
            </w:r>
          </w:p>
        </w:tc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70 – 90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5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Puntos del mes, evaluación abierta, encuesta y anuncio del siguiente taller</w:t>
            </w:r>
          </w:p>
        </w:tc>
      </w:tr>
    </w:tbl>
    <w:p>
      <w:pPr>
        <w:spacing w:after="80" w:before="6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8"/>
          <w:szCs w:val="18"/>
        </w:rPr>
        <w:t xml:space="preserve">Entre 10 y 14 diapositivas. El encuentro 2 es trabajo de los participantes, no exposición.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Las siete reglas del contenido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Una idea por diapositiva. Si hay dos, son dos diapositivas.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Cada concepto aterriza en un caso de G&amp;J de la guía de casos, con su dato.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La demostración se hace en vivo, con la herramienta en pantalla y los errores incluidos.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Todo se puede hacer con herramientas gratuitas.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Cada taller dice en voz alta qué se verifica y qué no se delega.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Sin prometer porcentajes de ahorro: el número lo pone cada persona al medir su tarea.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Sin jerga: «instrucción» en lugar de «prompt engineering», «clase» en lugar de «sesión sincrónica».</w:t>
      </w:r>
    </w:p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2 · TALLER 1 · COMERCIAL</w:t>
      </w:r>
    </w:p>
    <w:p>
      <w:pPr>
        <w:spacing w:after="120" w:before="40"/>
        <w:jc w:val="left"/>
      </w:pPr>
      <w:r>
        <w:rPr>
          <w:rFonts w:ascii="Atkinson Hyperlegible Next" w:cs="Atkinson Hyperlegible Next" w:eastAsia="Atkinson Hyperlegible Next" w:hAnsi="Atkinson Hyperlegible Next"/>
          <w:i/>
          <w:iCs/>
          <w:color w:val="56564F"/>
          <w:sz w:val="19"/>
          <w:szCs w:val="19"/>
        </w:rPr>
        <w:t xml:space="preserve">IA para el asesor comercial: primeros pasos con criterio · 9 y 16 de octubre · hábito de apertura: aprendizaje continuo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Mensaje central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IA no sabe nada de tu cliente ni de tu catálogo hasta que tú se lo cuentas. Aprender a hablarle es lo que la vuelve útil.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Mapa de contenidos del encuentro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780"/>
        <w:gridCol w:w="1500"/>
      </w:tblGrid>
      <w:tr>
        <w:trPr>
          <w:cantSplit/>
        </w:trPr>
        <w:tc>
          <w:tcPr>
            <w:tcW w:type="dxa" w:w="18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Bloque</w:t>
            </w:r>
          </w:p>
        </w:tc>
        <w:tc>
          <w:tcPr>
            <w:tcW w:type="dxa" w:w="67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Qué se enseña</w:t>
            </w:r>
          </w:p>
        </w:tc>
        <w:tc>
          <w:tcPr>
            <w:tcW w:type="dxa" w:w="15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Diapositivas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hábito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Aprendizaje continuo: quince minutos hoy devuelven horas mañana. Historia: el software que se usa al 30% porque nadie tiene tiempo de explorarlo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es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es un modelo de lenguaje en palabras sencillas: aprendió de millones de textos y predice la palabra siguiente. Por eso es bueno redactando y malo calculando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no es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No consulta el catálogo ni la lista de precios de G&amp;J. No recuerda. Inventa con seguridad. No decide. Ejemplo en pantalla de una respuesta convincente y falsa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miedo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Conversación de cinco minutos: qué tareas del asesor conservan su valor y cuáles conviene soltar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Las mentalidades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Las seis del programa, con una pregunta de autodiagnóstico: en cuál estoy más flojo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Primer contacto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Abrir la herramienta autorizada todos al tiempo: dónde se escribe, cómo se corrige, dónde se guarda lo que sirvió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instrucción completa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Rol, contexto, tarea, formato y ejemplo. La misma solicitud escrita vaga y completa, comparadas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Uso responsable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Los cuatro niveles de riesgo con información comercial: precios, márgenes, cupos, datos de clientes. La política de G&amp;J y quién responde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La demostración · 20 minutos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580"/>
      </w:tblGrid>
      <w:tr>
        <w:trPr>
          <w:cantSplit/>
        </w:trPr>
        <w:tc>
          <w:tcPr>
            <w:tcW w:type="dxa" w:w="5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Paso</w:t>
            </w:r>
          </w:p>
        </w:tc>
        <w:tc>
          <w:tcPr>
            <w:tcW w:type="dxa" w:w="958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hace el docente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9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Muestra un mensaje real de WhatsApp con una solicitud de 18 ítems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9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 pega en la herramienta con una instrucción vaga y muestra el resultado pobre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9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Rehace la instrucción con rol, contexto y formato de tabla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4</w:t>
            </w:r>
          </w:p>
        </w:tc>
        <w:tc>
          <w:tcPr>
            <w:tcW w:type="dxa" w:w="9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Obtiene la tabla con referencia, cantidad y unidad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5</w:t>
            </w:r>
          </w:p>
        </w:tc>
        <w:tc>
          <w:tcPr>
            <w:tcW w:type="dxa" w:w="9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Dice en voz alta qué va a verificar contra el catálogo antes de cotizar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6</w:t>
            </w:r>
          </w:p>
        </w:tc>
        <w:tc>
          <w:tcPr>
            <w:tcW w:type="dxa" w:w="9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Repite con un cliente molesto por un retraso: redacta la respuesta y la ajusta a su tono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La práctica · 20 minutos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Cada participante toma un mensaje propio de los últimos días y hace lo mismo. Quien no tenga uno a mano usa el del docente.</w:t>
      </w:r>
    </w:p>
    <w:p>
      <w:pPr>
        <w:spacing w:after="60" w:before="150"/>
      </w:pPr>
      <w:r>
        <w:rPr>
          <w:rFonts w:ascii="Barlow Condensed" w:cs="Barlow Condensed" w:eastAsia="Barlow Condensed" w:hAnsi="Barlow Condensed"/>
          <w:b/>
          <w:bCs/>
          <w:color w:val="3D3D38"/>
          <w:sz w:val="21"/>
          <w:szCs w:val="21"/>
        </w:rPr>
        <w:t xml:space="preserve">Prompts del kit</w:t>
      </w:r>
    </w:p>
    <w:p>
      <w:pPr>
        <w:spacing w:after="40" w:before="40"/>
        <w:ind w:left="360" w:right="300"/>
      </w:pPr>
      <w:r>
        <w:rPr>
          <w:rFonts w:ascii="Atkinson Hyperlegible Next" w:cs="Atkinson Hyperlegible Next" w:eastAsia="Atkinson Hyperlegible Next" w:hAnsi="Atkinson Hyperlegible Next"/>
          <w:i/>
          <w:iCs/>
          <w:color w:val="3D3D38"/>
          <w:sz w:val="17"/>
          <w:szCs w:val="17"/>
        </w:rPr>
        <w:t xml:space="preserve">» Eres asistente de un asesor comercial de una empresa de acero. Te voy a pegar un mensaje de WhatsApp de un cliente con una solicitud de cotización. Organízala en una tabla con tres columnas: referencia, cantidad y unidad. Si algo queda ambiguo, márcalo con una X y hazme la pregunta al final.</w:t>
      </w:r>
    </w:p>
    <w:p>
      <w:pPr>
        <w:spacing w:after="40" w:before="40"/>
        <w:ind w:left="360" w:right="300"/>
      </w:pPr>
      <w:r>
        <w:rPr>
          <w:rFonts w:ascii="Atkinson Hyperlegible Next" w:cs="Atkinson Hyperlegible Next" w:eastAsia="Atkinson Hyperlegible Next" w:hAnsi="Atkinson Hyperlegible Next"/>
          <w:i/>
          <w:iCs/>
          <w:color w:val="3D3D38"/>
          <w:sz w:val="17"/>
          <w:szCs w:val="17"/>
        </w:rPr>
        <w:t xml:space="preserve">» Soy asesor comercial de una empresa de acero. Un cliente está molesto porque su pedido lleva diez días de retraso. La causa real es [causa] y la nueva fecha confirmada es [fecha]. Escríbeme una respuesta de máximo seis líneas, directa, que reconozca el retraso, dé la causa, confirme la fecha y ofrezca una alternativa. Tono cordial y profesional, sin excusas largas.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Encuentro 2 · aplicación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Cada persona elige una tarea de comunicación que repite cada semana: responder solicitudes, enviar seguimientos o redactar propuestas.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Mide cuánto le toma hoy, arma su instrucción reutilizable y vuelve a medir.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Tres o cuatro comparten su pantalla y el grupo retroalimenta.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Qué debe medir la evaluación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rPr>
          <w:cantSplit/>
        </w:trPr>
        <w:tc>
          <w:tcPr>
            <w:tcW w:type="dxa" w:w="13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7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mide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– 2</w:t>
            </w:r>
          </w:p>
        </w:tc>
        <w:tc>
          <w:tcPr>
            <w:tcW w:type="dxa" w:w="8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es y qué no es la IA generativa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3 – 4</w:t>
            </w:r>
          </w:p>
        </w:tc>
        <w:tc>
          <w:tcPr>
            <w:tcW w:type="dxa" w:w="8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Reconocer una instrucción completa frente a una vaga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5</w:t>
            </w:r>
          </w:p>
        </w:tc>
        <w:tc>
          <w:tcPr>
            <w:tcW w:type="dxa" w:w="8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Cuándo una respuesta necesita verificación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6 – 7</w:t>
            </w:r>
          </w:p>
        </w:tc>
        <w:tc>
          <w:tcPr>
            <w:tcW w:type="dxa" w:w="8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información comercial puede entrar a una herramienta de IA y cuál no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8</w:t>
            </w:r>
          </w:p>
        </w:tc>
        <w:tc>
          <w:tcPr>
            <w:tcW w:type="dxa" w:w="8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Quién responde por un documento firmado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9</w:t>
            </w:r>
          </w:p>
        </w:tc>
        <w:tc>
          <w:tcPr>
            <w:tcW w:type="dxa" w:w="8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Relacionar una mentalidad con una situación de trabajo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10</w:t>
            </w:r>
          </w:p>
        </w:tc>
        <w:tc>
          <w:tcPr>
            <w:tcW w:type="dxa" w:w="8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Elegir el mejor uso de la IA en un caso del rol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3 · TALLER 1 · ADMINISTRATIVO</w:t>
      </w:r>
    </w:p>
    <w:p>
      <w:pPr>
        <w:spacing w:after="120" w:before="40"/>
        <w:jc w:val="left"/>
      </w:pPr>
      <w:r>
        <w:rPr>
          <w:rFonts w:ascii="Atkinson Hyperlegible Next" w:cs="Atkinson Hyperlegible Next" w:eastAsia="Atkinson Hyperlegible Next" w:hAnsi="Atkinson Hyperlegible Next"/>
          <w:i/>
          <w:iCs/>
          <w:color w:val="56564F"/>
          <w:sz w:val="19"/>
          <w:szCs w:val="19"/>
        </w:rPr>
        <w:t xml:space="preserve">IA para la gestión administrativa: primeros pasos con criterio · 14 y 21 de octubre · hábito de apertura: aprendizaje continuo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Mensaje central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IA redacta, resume y ordena. No calcula ni consulta tus sistemas. Tú pones el dato y la verificación.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Mapa de contenidos del encuentro 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780"/>
        <w:gridCol w:w="1500"/>
      </w:tblGrid>
      <w:tr>
        <w:trPr>
          <w:cantSplit/>
        </w:trPr>
        <w:tc>
          <w:tcPr>
            <w:tcW w:type="dxa" w:w="18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Bloque</w:t>
            </w:r>
          </w:p>
        </w:tc>
        <w:tc>
          <w:tcPr>
            <w:tcW w:type="dxa" w:w="67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se enseña</w:t>
            </w:r>
          </w:p>
        </w:tc>
        <w:tc>
          <w:tcPr>
            <w:tcW w:type="dxa" w:w="15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Diapositivas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hábito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Aprendizaje continuo. Historia: la estadística del mes que termina cuando ya empezó la del siguiente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es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es un modelo de lenguaje y por qué redacta bien y calcula mal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Qué no es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No consulta los sistemas de la empresa, no recuerda, inventa cifras y normas con seguridad. Ejemplo de una cita normativa inventada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El miedo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Conversación de cinco minutos sobre qué tareas administrativas conservan su valor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Las mentalidades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Las seis del programa, con autodiagnóstico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Primer contacto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Abrir la herramienta autorizada todos al tiempo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La instrucción completa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Rol, contexto, tarea, formato y ejemplo, con una solicitud administrativa real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Uso responsable</w:t>
            </w:r>
          </w:p>
        </w:tc>
        <w:tc>
          <w:tcPr>
            <w:tcW w:type="dxa" w:w="6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Los cuatro niveles de riesgo con nómina, datos de terceros, información financiera y documentos de vinculación. La política de G&amp;J y quién firma</w:t>
            </w:r>
          </w:p>
        </w:tc>
        <w:tc>
          <w:tcPr>
            <w:tcW w:type="dxa" w:w="1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3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La demostración · 20 minutos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580"/>
      </w:tblGrid>
      <w:tr>
        <w:trPr>
          <w:cantSplit/>
        </w:trPr>
        <w:tc>
          <w:tcPr>
            <w:tcW w:type="dxa" w:w="5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Paso</w:t>
            </w:r>
          </w:p>
        </w:tc>
        <w:tc>
          <w:tcPr>
            <w:tcW w:type="dxa" w:w="958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hace el docente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</w:t>
            </w:r>
          </w:p>
        </w:tc>
        <w:tc>
          <w:tcPr>
            <w:tcW w:type="dxa" w:w="9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Toma un documento normativo largo y pide un resumen vago. Muestra el resultado genérico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2</w:t>
            </w:r>
          </w:p>
        </w:tc>
        <w:tc>
          <w:tcPr>
            <w:tcW w:type="dxa" w:w="9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Rehace la instrucción pidiendo cinco puntos, con lo que cambia y desde cuándo rige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3</w:t>
            </w:r>
          </w:p>
        </w:tc>
        <w:tc>
          <w:tcPr>
            <w:tcW w:type="dxa" w:w="9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Verifica una de las afirmaciones contra el texto original, en pantalla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4</w:t>
            </w:r>
          </w:p>
        </w:tc>
        <w:tc>
          <w:tcPr>
            <w:tcW w:type="dxa" w:w="9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Convierte las notas de un comité en un acta con decisiones, responsables y fechas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5</w:t>
            </w:r>
          </w:p>
        </w:tc>
        <w:tc>
          <w:tcPr>
            <w:tcW w:type="dxa" w:w="95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Señala qué quedó pendiente de verificar antes de enviarla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La práctica · 20 minutos</w:t>
      </w:r>
    </w:p>
    <w:p>
      <w:pPr>
        <w:spacing w:after="80" w:before="4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Cada participante resume un documento propio y arma el acta de su última reunión.</w:t>
      </w:r>
    </w:p>
    <w:p>
      <w:pPr>
        <w:spacing w:after="60" w:before="150"/>
      </w:pPr>
      <w:r>
        <w:rPr>
          <w:rFonts w:ascii="Barlow Condensed" w:cs="Barlow Condensed" w:eastAsia="Barlow Condensed" w:hAnsi="Barlow Condensed"/>
          <w:b/>
          <w:bCs/>
          <w:color w:val="3D3D38"/>
          <w:sz w:val="21"/>
          <w:szCs w:val="21"/>
        </w:rPr>
        <w:t xml:space="preserve">Prompts del kit</w:t>
      </w:r>
    </w:p>
    <w:p>
      <w:pPr>
        <w:spacing w:after="40" w:before="40"/>
        <w:ind w:left="360" w:right="300"/>
      </w:pPr>
      <w:r>
        <w:rPr>
          <w:rFonts w:ascii="Atkinson Hyperlegible Next" w:cs="Atkinson Hyperlegible Next" w:eastAsia="Atkinson Hyperlegible Next" w:hAnsi="Atkinson Hyperlegible Next"/>
          <w:i/>
          <w:iCs/>
          <w:color w:val="3D3D38"/>
          <w:sz w:val="17"/>
          <w:szCs w:val="17"/>
        </w:rPr>
        <w:t xml:space="preserve">» Te voy a pegar un documento. Resúmelo en cinco puntos, en lenguaje sencillo, y dime qué cambia para mi trabajo diario. Si citas una cifra o un artículo, indícame en qué parte del texto está para verificarlo.</w:t>
      </w:r>
    </w:p>
    <w:p>
      <w:pPr>
        <w:spacing w:after="40" w:before="40"/>
        <w:ind w:left="360" w:right="300"/>
      </w:pPr>
      <w:r>
        <w:rPr>
          <w:rFonts w:ascii="Atkinson Hyperlegible Next" w:cs="Atkinson Hyperlegible Next" w:eastAsia="Atkinson Hyperlegible Next" w:hAnsi="Atkinson Hyperlegible Next"/>
          <w:i/>
          <w:iCs/>
          <w:color w:val="3D3D38"/>
          <w:sz w:val="17"/>
          <w:szCs w:val="17"/>
        </w:rPr>
        <w:t xml:space="preserve">» Te voy a pegar las notas de una reunión. Conviértelas en un acta con tres partes: decisiones tomadas, compromisos con responsable y fecha, y temas pendientes. Si falta el responsable o la fecha de un compromiso, márcalo como pendiente en lugar de inventarlo.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Encuentro 2 · aplicación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Cada persona elige una tarea de redacción o de resumen que repite cada semana.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Mide cuánto le toma hoy, arma su instrucción reutilizable y vuelve a medir.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Tres o cuatro comparten y el grupo retroalimenta.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Qué debe medir la evaluación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780"/>
      </w:tblGrid>
      <w:tr>
        <w:trPr>
          <w:cantSplit/>
        </w:trPr>
        <w:tc>
          <w:tcPr>
            <w:tcW w:type="dxa" w:w="13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87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Qué mide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 – 2</w:t>
            </w:r>
          </w:p>
        </w:tc>
        <w:tc>
          <w:tcPr>
            <w:tcW w:type="dxa" w:w="8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es y qué no es la IA generativa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3 – 4</w:t>
            </w:r>
          </w:p>
        </w:tc>
        <w:tc>
          <w:tcPr>
            <w:tcW w:type="dxa" w:w="8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Reconocer una instrucción completa frente a una vaga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5</w:t>
            </w:r>
          </w:p>
        </w:tc>
        <w:tc>
          <w:tcPr>
            <w:tcW w:type="dxa" w:w="8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hacer con una cifra que no se alcanzó a verificar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6 – 7</w:t>
            </w:r>
          </w:p>
        </w:tc>
        <w:tc>
          <w:tcPr>
            <w:tcW w:type="dxa" w:w="8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información administrativa puede entrar a una herramienta de 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8</w:t>
            </w:r>
          </w:p>
        </w:tc>
        <w:tc>
          <w:tcPr>
            <w:tcW w:type="dxa" w:w="8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Quién responde por un informe hecho con apoyo de IA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9</w:t>
            </w:r>
          </w:p>
        </w:tc>
        <w:tc>
          <w:tcPr>
            <w:tcW w:type="dxa" w:w="8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Relacionar una mentalidad con una situación de trabajo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10</w:t>
            </w:r>
          </w:p>
        </w:tc>
        <w:tc>
          <w:tcPr>
            <w:tcW w:type="dxa" w:w="87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Elegir el mejor uso de la IA en un caso del rol</w:t>
            </w:r>
          </w:p>
        </w:tc>
      </w:tr>
    </w:tbl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4 · LO QUE DEBE CUBRIR CADA TALLER · COMERCIAL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Taller 2 · Inteligencia de mercado con 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Mensaje central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Un análisis sobre datos sucios entrega conclusiones equivocadas con total seguridad.</w:t>
            </w:r>
          </w:p>
        </w:tc>
      </w:tr>
    </w:tbl>
    <w:p>
      <w:pPr>
        <w:spacing w:after="30" w:before="1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8"/>
          <w:szCs w:val="18"/>
        </w:rPr>
        <w:t xml:space="preserve">Lo que no puede faltar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Los seis destinos del trabajo y los siete criterios para decidir qué se delega.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Errores típicos de una base comercial: el mismo cliente escrito de tres formas, fechas mezcladas, totales entre los datos.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Limpiar y consolidar con IA sobre un archivo propio.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Cómo pedir una fórmula de Excel explicando el resultado esperado.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Verificar una conclusión contra la tabla antes de creerla.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40"/>
        <w:gridCol w:w="3340"/>
      </w:tblGrid>
      <w:tr>
        <w:trPr>
          <w:cantSplit/>
        </w:trPr>
        <w:tc>
          <w:tcPr>
            <w:tcW w:type="dxa" w:w="34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Demostración</w:t>
            </w:r>
          </w:p>
        </w:tc>
        <w:tc>
          <w:tcPr>
            <w:tcW w:type="dxa" w:w="334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Ejercicio</w:t>
            </w:r>
          </w:p>
        </w:tc>
        <w:tc>
          <w:tcPr>
            <w:tcW w:type="dxa" w:w="334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Foco de la evaluación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Export real de cartera con nombres duplicados: limpiarlo en pantalla y sacar tres conclusiones verificadas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quien limpia una base propia y le hace tres preguntas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Clasificar tareas, detectar una base sucia, distinguir conclusión verificable de afirmación general</w:t>
            </w:r>
          </w:p>
        </w:tc>
      </w:tr>
    </w:tbl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Taller 3 · Venta consultiva y experiencia del cliente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Mensaje central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tiempo no se pierde trabajando: se pierde esperando a otra área.</w:t>
            </w:r>
          </w:p>
        </w:tc>
      </w:tr>
    </w:tbl>
    <w:p>
      <w:pPr>
        <w:spacing w:after="30" w:before="1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8"/>
          <w:szCs w:val="18"/>
        </w:rPr>
        <w:t xml:space="preserve">Lo que no puede faltar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La jerarquía: estrategia, flujo, decisión, tarea, información, herramienta.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El recorrido del pedido en G&amp;J, de la solicitud al despacho.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Diferencia entre tiempo de trabajo y tiempo de espera.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La solicitud completa: qué necesito, para qué, con qué datos, para cuándo y quién responde.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Cómo informar un retraso: causa, fecha nueva y alternativa.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40"/>
        <w:gridCol w:w="3340"/>
      </w:tblGrid>
      <w:tr>
        <w:trPr>
          <w:cantSplit/>
        </w:trPr>
        <w:tc>
          <w:tcPr>
            <w:tcW w:type="dxa" w:w="34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Demostración</w:t>
            </w:r>
          </w:p>
        </w:tc>
        <w:tc>
          <w:tcPr>
            <w:tcW w:type="dxa" w:w="334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Ejercicio</w:t>
            </w:r>
          </w:p>
        </w:tc>
        <w:tc>
          <w:tcPr>
            <w:tcW w:type="dxa" w:w="334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Foco de la evaluación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Convertir una cadena de mensajes de seguimiento en una sola solicitud completa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quien dibuja su tramo del recorrido y redacta la solicitud que hoy resuelve a punta de llamadas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Ubicar una mejora en el nivel correcto, distinguir trabajo de espera, detectar qué le falta a una solicitud</w:t>
            </w:r>
          </w:p>
        </w:tc>
      </w:tr>
    </w:tbl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Taller 4 · Gestión comercial basada en datos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Mensaje central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IA responde con lo que tú le das. Si la información vive en tu cabeza, no puede ayudarte.</w:t>
            </w:r>
          </w:p>
        </w:tc>
      </w:tr>
    </w:tbl>
    <w:p>
      <w:pPr>
        <w:spacing w:after="30" w:before="1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8"/>
          <w:szCs w:val="18"/>
        </w:rPr>
        <w:t xml:space="preserve">Lo que no puede faltar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La misma pregunta con y sin información de la empresa, en pantalla.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El mapa de fuentes del asesor: catálogo, precios, cupo, cartera e histórico.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El CRM como memoria del área: qué se registra y para qué sirve después.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Convertir una nota de voz de la visita en un registro estructurado.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Analizar el embudo con un export: dónde y por qué se pierden las cotizaciones.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40"/>
        <w:gridCol w:w="3340"/>
      </w:tblGrid>
      <w:tr>
        <w:trPr>
          <w:cantSplit/>
        </w:trPr>
        <w:tc>
          <w:tcPr>
            <w:tcW w:type="dxa" w:w="34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Demostración</w:t>
            </w:r>
          </w:p>
        </w:tc>
        <w:tc>
          <w:tcPr>
            <w:tcW w:type="dxa" w:w="334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Ejercicio</w:t>
            </w:r>
          </w:p>
        </w:tc>
        <w:tc>
          <w:tcPr>
            <w:tcW w:type="dxa" w:w="334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Foco de la evaluación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Preguntar algo sin contexto y luego con la ficha técnica y la lista de precios cargadas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quien arma su mapa de fuentes y registra una visita reciente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Cuál fuente manda, qué contexto necesita la IA, para qué sirve el motivo de cierre</w:t>
            </w:r>
          </w:p>
        </w:tc>
      </w:tr>
    </w:tbl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Taller 5 · Atención al cliente con IA en canales digitales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Mensaje central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IA redacta; la persona decide y responde.</w:t>
            </w:r>
          </w:p>
        </w:tc>
      </w:tr>
    </w:tbl>
    <w:p>
      <w:pPr>
        <w:spacing w:after="30" w:before="1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8"/>
          <w:szCs w:val="18"/>
        </w:rPr>
        <w:t xml:space="preserve">Lo que no puede faltar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Dónde ayuda la IA y dónde conviene que decida una persona.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La matriz de responsabilidad aplicada a una respuesta al cliente.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El banco de respuestas base para las diez preguntas más frecuentes.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Ajustar el tono para que el cliente lea a una persona.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El aviso proactivo: avisar antes de que el cliente pregunte.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40"/>
        <w:gridCol w:w="3340"/>
      </w:tblGrid>
      <w:tr>
        <w:trPr>
          <w:cantSplit/>
        </w:trPr>
        <w:tc>
          <w:tcPr>
            <w:tcW w:type="dxa" w:w="34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Demostración</w:t>
            </w:r>
          </w:p>
        </w:tc>
        <w:tc>
          <w:tcPr>
            <w:tcW w:type="dxa" w:w="334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Ejercicio</w:t>
            </w:r>
          </w:p>
        </w:tc>
        <w:tc>
          <w:tcPr>
            <w:tcW w:type="dxa" w:w="334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Foco de la evaluación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Redactar la respuesta a un reclamo, corregirla en pantalla y definir quién la aprueba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quien arma dos respuestas base de su día a día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Quién responde por una salida enviada al cliente, qué verificar antes de enviar, cuándo escalar</w:t>
            </w:r>
          </w:p>
        </w:tc>
      </w:tr>
    </w:tbl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8A6B00"/>
          <w:sz w:val="25"/>
          <w:szCs w:val="25"/>
        </w:rPr>
        <w:t xml:space="preserve">Taller 6 · Proyecto comercial con 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Mensaje central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Sin medir el antes, no hay forma de demostrar la mejora.</w:t>
            </w:r>
          </w:p>
        </w:tc>
      </w:tr>
    </w:tbl>
    <w:p>
      <w:pPr>
        <w:spacing w:after="30" w:before="1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8"/>
          <w:szCs w:val="18"/>
        </w:rPr>
        <w:t xml:space="preserve">Lo que no puede faltar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De la queja al reto: el formato «Cómo podríamos».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Cómo medir la línea base: cronometrar, contar errores, contar repeticiones.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La ficha del caso: problema, solución, quién valida, qué indicador cambia.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Estimar el ahorro sin inflarlo.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El pitch de tres minutos.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40"/>
        <w:gridCol w:w="3340"/>
      </w:tblGrid>
      <w:tr>
        <w:trPr>
          <w:cantSplit/>
        </w:trPr>
        <w:tc>
          <w:tcPr>
            <w:tcW w:type="dxa" w:w="340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Demostración</w:t>
            </w:r>
          </w:p>
        </w:tc>
        <w:tc>
          <w:tcPr>
            <w:tcW w:type="dxa" w:w="334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Ejercicio</w:t>
            </w:r>
          </w:p>
        </w:tc>
        <w:tc>
          <w:tcPr>
            <w:tcW w:type="dxa" w:w="3340"/>
            <w:tcBorders>
              <w:top w:val="single" w:color="FCC800" w:sz="1"/>
              <w:left w:val="single" w:color="FCC800" w:sz="1"/>
              <w:bottom w:val="single" w:color="FCC800" w:sz="1"/>
              <w:right w:val="single" w:color="FCC800" w:sz="1"/>
            </w:tcBorders>
            <w:shd w:fill="FCC800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17"/>
                <w:szCs w:val="17"/>
              </w:rPr>
              <w:t xml:space="preserve">Foco de la evaluación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Tomar una mejora real del grupo, medirla en vivo y armar el pitch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quien formula su pregunta y define cómo medirá su línea base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Distinguir un reto bien formulado, elegir el dato de línea base, ordenar un pitch</w:t>
            </w:r>
          </w:p>
        </w:tc>
      </w:tr>
    </w:tbl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5 · LO QUE DEBE CUBRIR CADA TALLER · ADMINISTRATIVO</w:t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Taller 2 · Datos para decidir con 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Mensaje central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tiempo se va armando el reporte, no analizándolo.</w:t>
            </w:r>
          </w:p>
        </w:tc>
      </w:tr>
    </w:tbl>
    <w:p>
      <w:pPr>
        <w:spacing w:after="30" w:before="1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8"/>
          <w:szCs w:val="18"/>
        </w:rPr>
        <w:t xml:space="preserve">Lo que no puede faltar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Los seis destinos del trabajo y los siete criterios.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La consolidación manual: por qué consume el mes.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Consolidar archivos con formatos distintos y verificar totales.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Preguntas que se le hacen a una estadística: dónde se concentra, qué cambió, qué se repite.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El informe de una página: qué pasó, por qué, qué proponemos, qué necesitamos.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40"/>
        <w:gridCol w:w="3340"/>
      </w:tblGrid>
      <w:tr>
        <w:trPr>
          <w:cantSplit/>
        </w:trPr>
        <w:tc>
          <w:tcPr>
            <w:tcW w:type="dxa" w:w="34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Demostración</w:t>
            </w:r>
          </w:p>
        </w:tc>
        <w:tc>
          <w:tcPr>
            <w:tcW w:type="dxa" w:w="334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Ejercicio</w:t>
            </w:r>
          </w:p>
        </w:tc>
        <w:tc>
          <w:tcPr>
            <w:tcW w:type="dxa" w:w="334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Foco de la evaluación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Tres archivos del mismo indicador con formatos distintos: consolidarlos y verificar los totales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quien consolida sus propios archivos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Clasificar tareas, detectar problemas de una base, elegir la estructura de un informe</w:t>
            </w:r>
          </w:p>
        </w:tc>
      </w:tr>
    </w:tbl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Taller 3 · Productividad digital: de la bandeja al tablero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Mensaje central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El correo es un canal, no un sistema de seguimiento.</w:t>
            </w:r>
          </w:p>
        </w:tc>
      </w:tr>
    </w:tbl>
    <w:p>
      <w:pPr>
        <w:spacing w:after="30" w:before="1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8"/>
          <w:szCs w:val="18"/>
        </w:rPr>
        <w:t xml:space="preserve">Lo que no puede faltar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Qué convierte un mensaje en tarea: verbo, responsable, fecha y criterio de cierre.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Extraer tareas de un correo largo, de un acta o de una transcripción.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El tablero personal con las herramientas que ya tiene la empresa.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Priorizar con criterio explícito: vencimiento, impacto, tiempo y a quién bloquea.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Plazos que no se pueden olvidar y el tablero del equipo.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40"/>
        <w:gridCol w:w="3340"/>
      </w:tblGrid>
      <w:tr>
        <w:trPr>
          <w:cantSplit/>
        </w:trPr>
        <w:tc>
          <w:tcPr>
            <w:tcW w:type="dxa" w:w="34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Demostración</w:t>
            </w:r>
          </w:p>
        </w:tc>
        <w:tc>
          <w:tcPr>
            <w:tcW w:type="dxa" w:w="334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Ejercicio</w:t>
            </w:r>
          </w:p>
        </w:tc>
        <w:tc>
          <w:tcPr>
            <w:tcW w:type="dxa" w:w="334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Foco de la evaluación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Una bandeja real: extraer las tareas con responsable y fecha y cargarlas en un tablero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quien arma su tablero con los pendientes de la semana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Qué le falta a un mensaje para ser tarea, qué herramienta usar, cómo priorizar</w:t>
            </w:r>
          </w:p>
        </w:tc>
      </w:tr>
    </w:tbl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Taller 4 · Procesos internos con 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Mensaje central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Una IA sin el documento oficial responde bonito y equivocado.</w:t>
            </w:r>
          </w:p>
        </w:tc>
      </w:tr>
    </w:tbl>
    <w:p>
      <w:pPr>
        <w:spacing w:after="30" w:before="1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8"/>
          <w:szCs w:val="18"/>
        </w:rPr>
        <w:t xml:space="preserve">Lo que no puede faltar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La misma pregunta con y sin el documento oficial.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El mapa de fuentes del área y el problema de las tres versiones del mismo archivo.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Preguntarle a los procedimientos propios y verificar la respuesta contra el texto.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Formularios repetitivos: base reutilizable y verificación campo por campo.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Informes duplicados: cómo levantar el inventario de reportes del área.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40"/>
        <w:gridCol w:w="3340"/>
      </w:tblGrid>
      <w:tr>
        <w:trPr>
          <w:cantSplit/>
        </w:trPr>
        <w:tc>
          <w:tcPr>
            <w:tcW w:type="dxa" w:w="34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Demostración</w:t>
            </w:r>
          </w:p>
        </w:tc>
        <w:tc>
          <w:tcPr>
            <w:tcW w:type="dxa" w:w="334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Ejercicio</w:t>
            </w:r>
          </w:p>
        </w:tc>
        <w:tc>
          <w:tcPr>
            <w:tcW w:type="dxa" w:w="334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Foco de la evaluación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Cargar un procedimiento real, hacerle tres preguntas y contrastar con el texto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quien arma el mapa de fuentes de su área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Cuál fuente prevalece, qué contexto necesita la IA, riesgo de prellenar sin revisar</w:t>
            </w:r>
          </w:p>
        </w:tc>
      </w:tr>
    </w:tbl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Taller 5 · Adopción de la IA en el equipo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Mensaje central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IA prepara, la persona decide y el área responde.</w:t>
            </w:r>
          </w:p>
        </w:tc>
      </w:tr>
    </w:tbl>
    <w:p>
      <w:pPr>
        <w:spacing w:after="30" w:before="1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8"/>
          <w:szCs w:val="18"/>
        </w:rPr>
        <w:t xml:space="preserve">Lo que no puede faltar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Dónde ayuda y dónde conviene que decida una persona.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La matriz de responsabilidad aplicada a un proceso del área.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Sesgo y verificación: cuando la herramienta aprende de las decisiones de siempre.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Por qué la gente dice que no tiene tiempo, y cómo se ve una adopción real.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Cómo enseñarle a un compañero en cinco minutos.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40"/>
        <w:gridCol w:w="3340"/>
      </w:tblGrid>
      <w:tr>
        <w:trPr>
          <w:cantSplit/>
        </w:trPr>
        <w:tc>
          <w:tcPr>
            <w:tcW w:type="dxa" w:w="34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Demostración</w:t>
            </w:r>
          </w:p>
        </w:tc>
        <w:tc>
          <w:tcPr>
            <w:tcW w:type="dxa" w:w="334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Ejercicio</w:t>
            </w:r>
          </w:p>
        </w:tc>
        <w:tc>
          <w:tcPr>
            <w:tcW w:type="dxa" w:w="334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Foco de la evaluación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Asignar los seis roles en un proceso del área y corregir una salida con sesgo evidente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quien arma la matriz de un proceso suyo y prepara una explicación de cinco minutos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Asignar responsabilidades, reconocer una salida sesgada, elegir cómo enseñar</w:t>
            </w:r>
          </w:p>
        </w:tc>
      </w:tr>
    </w:tbl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3D3D38"/>
          <w:sz w:val="25"/>
          <w:szCs w:val="25"/>
        </w:rPr>
        <w:t xml:space="preserve">Taller 6 · Proyecto de mejora con 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8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Mensaje central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Sin medir el antes, no hay forma de demostrar la mejora.</w:t>
            </w:r>
          </w:p>
        </w:tc>
      </w:tr>
    </w:tbl>
    <w:p>
      <w:pPr>
        <w:spacing w:after="30" w:before="100"/>
      </w:pP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18"/>
          <w:szCs w:val="18"/>
        </w:rPr>
        <w:t xml:space="preserve">Lo que no puede faltar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De la queja al reto: el formato «Cómo podríamos».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Cómo medir la línea base con los ejemplos del área.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La ficha del caso completa.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Cuánto cuesta hoy y cuánto se ahorra.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El pitch de tres minutos y el paso al Banco de Retos.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340"/>
        <w:gridCol w:w="3340"/>
      </w:tblGrid>
      <w:tr>
        <w:trPr>
          <w:cantSplit/>
        </w:trPr>
        <w:tc>
          <w:tcPr>
            <w:tcW w:type="dxa" w:w="340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Demostración</w:t>
            </w:r>
          </w:p>
        </w:tc>
        <w:tc>
          <w:tcPr>
            <w:tcW w:type="dxa" w:w="334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Ejercicio</w:t>
            </w:r>
          </w:p>
        </w:tc>
        <w:tc>
          <w:tcPr>
            <w:tcW w:type="dxa" w:w="3340"/>
            <w:tcBorders>
              <w:top w:val="single" w:color="3D3D38" w:sz="1"/>
              <w:left w:val="single" w:color="3D3D38" w:sz="1"/>
              <w:bottom w:val="single" w:color="3D3D38" w:sz="1"/>
              <w:right w:val="single" w:color="3D3D38" w:sz="1"/>
            </w:tcBorders>
            <w:shd w:fill="3D3D3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Foco de la evaluación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Medir en vivo un caso real, como los indicadores que toman dos semanas al mes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quien formula su pregunta y define cómo medirá</w:t>
            </w:r>
          </w:p>
        </w:tc>
        <w:tc>
          <w:tcPr>
            <w:tcW w:type="dxa" w:w="334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Reto bien formulado, dato de línea base, estimación sostenible</w:t>
            </w:r>
          </w:p>
        </w:tc>
      </w:tr>
    </w:tbl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p>
      <w:r>
        <w:br w:type="page"/>
      </w:r>
    </w:p>
    <w:p>
      <w:pPr>
        <w:pBdr>
          <w:bottom w:val="single" w:color="FCC800" w:sz="12"/>
        </w:pBdr>
        <w:spacing w:after="130" w:before="300"/>
      </w:pPr>
      <w:r>
        <w:rPr>
          <w:rFonts w:ascii="Barlow Condensed" w:cs="Barlow Condensed" w:eastAsia="Barlow Condensed" w:hAnsi="Barlow Condensed"/>
          <w:b/>
          <w:bCs/>
          <w:color w:val="0D0D0C"/>
          <w:sz w:val="30"/>
          <w:szCs w:val="30"/>
        </w:rPr>
        <w:t xml:space="preserve">6 · ESTÁNDARES DE LA PRESENTACIÓN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cantSplit/>
        </w:trPr>
        <w:tc>
          <w:tcPr>
            <w:tcW w:type="dxa" w:w="220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Elemento</w:t>
            </w:r>
          </w:p>
        </w:tc>
        <w:tc>
          <w:tcPr>
            <w:tcW w:type="dxa" w:w="7880"/>
            <w:tcBorders>
              <w:top w:val="single" w:color="56564F" w:sz="1"/>
              <w:left w:val="single" w:color="56564F" w:sz="1"/>
              <w:bottom w:val="single" w:color="56564F" w:sz="1"/>
              <w:right w:val="single" w:color="56564F" w:sz="1"/>
            </w:tcBorders>
            <w:shd w:fill="56564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FFFFF"/>
                <w:sz w:val="17"/>
                <w:szCs w:val="17"/>
              </w:rPr>
              <w:t xml:space="preserve">Regla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Marca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Negro #0D0D0C de fondo o blanco limpio; amarillo #FCC800 solo para resaltar la acción o el dato clave. Sobre amarillo, texto negro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Tipografía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Titulares en Barlow Condensed en mayúsculas; cuerpo en Atkinson Hyperlegible Next. Tamaño mínimo legible en celular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Densidad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Una idea por diapositiva. Máximo seis líneas de texto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Imágenes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Capturas reales del trabajo, no fotos de archivo ni ilustraciones genéricas de robots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Datos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7F7F5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Cada cifra de G&amp;J lleva su fuente: la mesa de trabajo o el área que la entregó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222222"/>
                <w:sz w:val="16"/>
                <w:szCs w:val="16"/>
              </w:rPr>
              <w:t xml:space="preserve">Cierre</w:t>
            </w:r>
          </w:p>
        </w:tc>
        <w:tc>
          <w:tcPr>
            <w:tcW w:type="dxa" w:w="7880"/>
            <w:tcBorders>
              <w:top w:val="single" w:color="DEDED9" w:sz="1"/>
              <w:left w:val="single" w:color="DEDED9" w:sz="1"/>
              <w:bottom w:val="single" w:color="DEDED9" w:sz="1"/>
              <w:right w:val="single" w:color="DEDED9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Atkinson Hyperlegible Next" w:cs="Atkinson Hyperlegible Next" w:eastAsia="Atkinson Hyperlegible Next" w:hAnsi="Atkinson Hyperlegible Next"/>
                <w:b w:val="false"/>
                <w:bCs w:val="false"/>
                <w:color w:val="222222"/>
                <w:sz w:val="16"/>
                <w:szCs w:val="16"/>
              </w:rPr>
              <w:t xml:space="preserve">La última diapositiva siempre muestra el reto de la semana y la fecha del siguiente encuentro</w:t>
            </w:r>
          </w:p>
        </w:tc>
      </w:tr>
    </w:tbl>
    <w:p>
      <w:pPr>
        <w:spacing w:after="90" w:before="210"/>
      </w:pPr>
      <w:r>
        <w:rPr>
          <w:rFonts w:ascii="Barlow Condensed" w:cs="Barlow Condensed" w:eastAsia="Barlow Condensed" w:hAnsi="Barlow Condensed"/>
          <w:b/>
          <w:bCs/>
          <w:color w:val="0D0D0C"/>
          <w:sz w:val="25"/>
          <w:szCs w:val="25"/>
        </w:rPr>
        <w:t xml:space="preserve">Checklist de entrega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Presentación del encuentro 1 (18 a 24 diapositivas) y del encuentro 2 (10 a 14).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Guion de la demostración, paso a paso, con el caso elegido de la guía.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Instrucciones del ejercicio de práctica y el prompt de partida.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Tres o cuatro prompts para el kit del participante.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Las diez preguntas de la evaluación con su clave, siguiendo el foco de esta guía.</w:t>
      </w:r>
    </w:p>
    <w:p>
      <w:pPr>
        <w:spacing w:after="36" w:before="24"/>
        <w:ind w:left="300" w:hanging="200"/>
        <w:jc w:val="both"/>
      </w:pPr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>•  Todo entregado dos semanas antes del primer encuentro.</w:t>
      </w:r>
    </w:p>
    <w:p>
      <w:r>
        <w:rPr>
          <w:rFonts w:ascii="Atkinson Hyperlegible Next" w:cs="Atkinson Hyperlegible Next" w:eastAsia="Atkinson Hyperlegible Next" w:hAnsi="Atkinson Hyperlegible Next"/>
          <w:color w:val="0D0D0C"/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FCC800" w:sz="12"/>
              <w:left w:val="single" w:color="FCC800" w:sz="12"/>
              <w:bottom w:val="single" w:color="DEDED9" w:sz="1"/>
              <w:right w:val="single" w:color="DEDED9" w:sz="1"/>
            </w:tcBorders>
            <w:shd w:fill="FFF9E0" w:val="clear"/>
            <w:tcMar>
              <w:top w:type="dxa" w:w="100"/>
              <w:left w:type="dxa" w:w="170"/>
              <w:bottom w:type="dxa" w:w="100"/>
              <w:right w:type="dxa" w:w="170"/>
            </w:tcMar>
          </w:tcPr>
          <w:p>
            <w:pPr>
              <w:spacing w:after="45"/>
            </w:pPr>
            <w:r>
              <w:rPr>
                <w:rFonts w:ascii="Atkinson Hyperlegible Next" w:cs="Atkinson Hyperlegible Next" w:eastAsia="Atkinson Hyperlegible Next" w:hAnsi="Atkinson Hyperlegible Next"/>
                <w:b/>
                <w:bCs/>
                <w:color w:val="8A6B00"/>
                <w:sz w:val="17"/>
                <w:szCs w:val="17"/>
              </w:rPr>
              <w:t xml:space="preserve">EL ERROR MÁS FRECUENTE</w:t>
            </w:r>
          </w:p>
          <w:p>
            <w:pPr>
              <w:spacing w:after="4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8"/>
                <w:szCs w:val="18"/>
              </w:rPr>
              <w:t xml:space="preserve">Llenar el encuentro 1 de teoría y dejar la práctica para el final, que es cuando se acaba el tiempo. La demostración y la práctica ocupan 40 de los 90 minutos: esa proporción no se negocia.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9" w:sz="4"/>
      </w:pBdr>
      <w:spacing w:before="60"/>
    </w:pPr>
    <w:r>
      <w:rPr>
        <w:rFonts w:ascii="Atkinson Hyperlegible Next" w:cs="Atkinson Hyperlegible Next" w:eastAsia="Atkinson Hyperlegible Next" w:hAnsi="Atkinson Hyperlegible Next"/>
        <w:i/>
        <w:iCs/>
        <w:color w:val="74746E"/>
        <w:sz w:val="14"/>
        <w:szCs w:val="14"/>
      </w:rPr>
      <w:t xml:space="preserve">Pivot Power · documento interno · octubre de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CC800" w:sz="6"/>
      </w:pBdr>
      <w:spacing w:after="60"/>
    </w:pPr>
    <w:r>
      <w:rPr>
        <w:rFonts w:ascii="Atkinson Hyperlegible Next" w:cs="Atkinson Hyperlegible Next" w:eastAsia="Atkinson Hyperlegible Next" w:hAnsi="Atkinson Hyperlegible Next"/>
        <w:color w:val="8A6B00"/>
        <w:sz w:val="15"/>
        <w:szCs w:val="15"/>
      </w:rPr>
      <w:t xml:space="preserve">SUPER HUMANOS · Guía de contenido por taller</w:t>
    </w:r>
    <w:r>
      <w:rPr>
        <w:rFonts w:ascii="Atkinson Hyperlegible Next" w:cs="Atkinson Hyperlegible Next" w:eastAsia="Atkinson Hyperlegible Next" w:hAnsi="Atkinson Hyperlegible Next"/>
        <w:color w:val="0D0D0C"/>
        <w:sz w:val="15"/>
        <w:szCs w:val="15"/>
      </w:rPr>
      <w:t xml:space="preserve">   |   Para los docentes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tkinson Hyperlegible Next" w:cs="Atkinson Hyperlegible Next" w:eastAsia="Atkinson Hyperlegible Next" w:hAnsi="Atkinson Hyperlegible Next"/>
        <w:color w:val="0D0D0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2026-10-03T02:44:06.347Z</dcterms:created>
  <dcterms:modified xsi:type="dcterms:W3CDTF">2026-10-03T02:44:06.351Z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