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</w:pPr>
      <w:r>
        <w:rPr>
          <w:rFonts w:ascii="Barlow Condensed" w:cs="Barlow Condensed" w:eastAsia="Barlow Condensed" w:hAnsi="Barlow Condensed"/>
          <w:b/>
          <w:bCs/>
          <w:color w:val="8A6B00"/>
          <w:spacing w:val="60"/>
          <w:sz w:val="28"/>
          <w:szCs w:val="28"/>
        </w:rPr>
        <w:t xml:space="preserve">SUPER HUMANOS</w:t>
      </w:r>
    </w:p>
    <w:p>
      <w:pPr>
        <w:spacing w:after="200"/>
      </w:pPr>
      <w:r>
        <w:rPr>
          <w:rFonts w:ascii="Barlow Condensed" w:cs="Barlow Condensed" w:eastAsia="Barlow Condensed" w:hAnsi="Barlow Condensed"/>
          <w:b/>
          <w:bCs/>
          <w:color w:val="0D0D0C"/>
          <w:sz w:val="72"/>
          <w:szCs w:val="72"/>
        </w:rPr>
        <w:t xml:space="preserve">AJUSTES A LOS TALLERES</w:t>
      </w:r>
    </w:p>
    <w:p>
      <w:pPr>
        <w:spacing w:after="300"/>
      </w:pPr>
      <w:r>
        <w:rPr>
          <w:rFonts w:ascii="Barlow Condensed" w:cs="Barlow Condensed" w:eastAsia="Barlow Condensed" w:hAnsi="Barlow Condensed"/>
          <w:b/>
          <w:bCs/>
          <w:color w:val="0D0D0C"/>
          <w:sz w:val="34"/>
          <w:szCs w:val="34"/>
        </w:rPr>
        <w:t xml:space="preserve">PERFIL COMERCIAL · A PARTIR DEL DIAGNÓSTICO PARCIAL Y DE LA POLÍTICA DE USO DE IA</w:t>
      </w:r>
    </w:p>
    <w:p>
      <w:pPr>
        <w:spacing w:after="120" w:line="300"/>
        <w:rPr>
          <w:color w:val="56564F"/>
        </w:rPr>
      </w:pPr>
      <w:r>
        <w:rPr>
          <w:rFonts w:ascii="Atkinson Hyperlegible Next" w:cs="Atkinson Hyperlegible Next" w:eastAsia="Atkinson Hyperlegible Next" w:hAnsi="Atkinson Hyperlegible Next"/>
          <w:color w:val="56564F"/>
          <w:sz w:val="21"/>
          <w:szCs w:val="21"/>
        </w:rPr>
        <w:t xml:space="preserve">Diagnóstico con corte del 23 de octubre de 2026, resultados del perfil comercial. Política de uso de inteligencia artificial y gestión de riesgo de GYJ Ferreterías S.A., código TH-PT-003, versión 1.</w:t>
      </w:r>
    </w:p>
    <w:p>
      <w:pPr>
        <w:spacing w:after="120" w:line="300"/>
        <w:rPr>
          <w:color w:val="56564F"/>
        </w:rPr>
      </w:pPr>
      <w:r>
        <w:rPr>
          <w:rFonts w:ascii="Atkinson Hyperlegible Next" w:cs="Atkinson Hyperlegible Next" w:eastAsia="Atkinson Hyperlegible Next" w:hAnsi="Atkinson Hyperlegible Next"/>
          <w:color w:val="56564F"/>
          <w:sz w:val="21"/>
          <w:szCs w:val="21"/>
        </w:rPr>
        <w:t xml:space="preserve">Pivot Power · documento para el docente del perfil comercial · 27 de octubre de 2026 · fechas según el cronograma ajustado del 19 de octubre</w:t>
      </w:r>
    </w:p>
    <w:p>
      <w:pPr>
        <w:spacing w:after="120"/>
      </w:pP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c>
          <w:tcPr>
            <w:tcW w:type="dxa" w:w="9972"/>
            <w:tcBorders>
              <w:top w:val="none" w:color="FFFFFF" w:sz="0"/>
              <w:left w:val="single" w:color="FCC800" w:sz="36"/>
              <w:bottom w:val="none" w:color="FFFFFF" w:sz="0"/>
              <w:right w:val="none" w:color="FFFFFF" w:sz="0"/>
            </w:tcBorders>
            <w:shd w:fill="F7F7F5" w:color="F7F7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24"/>
                <w:szCs w:val="24"/>
              </w:rPr>
              <w:t xml:space="preserve">QUÉ HACE ESTE DOCUMENTO</w:t>
            </w:r>
          </w:p>
          <w:p>
            <w:pPr>
              <w:spacing w:after="60" w:line="28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20"/>
                <w:szCs w:val="20"/>
              </w:rPr>
              <w:t xml:space="preserve">Cruza tres fuentes: los resultados del diagnóstico, la política de IA que firmó la gente y el temario de los seis talleres del perfil con su guía de contenido.</w:t>
            </w:r>
          </w:p>
          <w:p>
            <w:pPr>
              <w:spacing w:after="60" w:line="28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20"/>
                <w:szCs w:val="20"/>
              </w:rPr>
              <w:t xml:space="preserve">Propone los cambios taller por taller, con el lugar exacto del temario o de la guía donde se aplican y el dato que los sustenta.</w:t>
            </w:r>
          </w:p>
          <w:p>
            <w:pPr>
              <w:spacing w:after="60" w:line="28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20"/>
                <w:szCs w:val="20"/>
              </w:rPr>
              <w:t xml:space="preserve">El Taller 1 arranca el viernes 23 de octubre a las 7:30. Los ajustes del Taller 1 entran completos en los dos encuentros, en el kit del participante y en los retos.</w:t>
            </w:r>
          </w:p>
        </w:tc>
      </w:tr>
    </w:tbl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1 · LO QUE DICEN LOS DATOS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Las cifras del perfil comercial están en «Resumen del diagnóstico · perfil comercial», que acompaña este documento. Cada ajuste de las secciones 3 y 4 cita el dato que lo justifica.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2 · LO QUE EXIGE LA POLÍTICA Y DÓNDE TOCA EL TEMARIO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La política TH-PT-003 fija reglas que el temario asumía de otra forma. Seis de ellas cambian cómo se enseña y con qué se practica.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91"/>
        <w:gridCol w:w="3291"/>
        <w:gridCol w:w="3390"/>
      </w:tblGrid>
      <w:tr>
        <w:trPr>
          <w:tblHeader/>
        </w:trPr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REGLA DE LA POLÍTICA</w:t>
            </w:r>
          </w:p>
        </w:tc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DÓNDE TOCA EL TEMARIO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7.2 · Las cuentas personales de herramientas de IA quedan prohibidas para información de la empresa, salvo autorización expresa de Sistemas.</w:t>
            </w:r>
          </w:p>
        </w:tc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Sección 3, «Herramientas del programa»: ChatGPT, Gemini y NotebookLM «gratis con cuenta». El 50 % de quienes respondieron usa cuenta personal.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La regla del programa pasa a ser: con cuenta personal solo se trabaja con el material del kit, sin datos de la empresa ni de personas. Con información real, solo la herramienta y la cuenta que TIC autorice por escrito.</w:t>
            </w:r>
          </w:p>
        </w:tc>
      </w:tr>
      <w:tr>
        <w:trPr>
          <w:cantSplit/>
        </w:trPr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7.2 y 7.3 · Nombres, cédulas, teléfonos, correos, direcciones y cargos de clientes, proveedores y colaboradores nunca entran a una herramienta no autorizada. Tampoco listados ni bases.</w:t>
            </w:r>
          </w:p>
        </w:tc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Demostración del T1 con un WhatsApp real. T2 con un export real de cartera. T4 con la nota de voz de una visita. T5 con un reclamo real.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Cada demostración usa el archivo del kit, anonimizado, o un archivo propio al que la persona le quitó los datos de identificación. La técnica de anonimizar en dos minutos se enseña en el Taller 1.</w:t>
            </w:r>
          </w:p>
        </w:tc>
      </w:tr>
      <w:tr>
        <w:trPr>
          <w:cantSplit/>
        </w:trPr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6 y 7.3 · Antes de cargar un archivo o documento a una plataforma de IA hay que verificar con TIC que esté autorizada.</w:t>
            </w:r>
          </w:p>
        </w:tc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T4 con NotebookLM y procedimientos propios. Reto 17.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NotebookLM entra solo si TIC lo autoriza. Mientras tanto, el texto del procedimiento, sin datos personales, se pega en la herramienta autorizada.</w:t>
            </w:r>
          </w:p>
        </w:tc>
      </w:tr>
      <w:tr>
        <w:trPr>
          <w:cantSplit/>
        </w:trPr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5.5 y 6 · Validación humana obligatoria de todo resultado antes de usarlo o comunicarlo. 9 · Los líderes validan los resultados de su equipo antes de usarlos.</w:t>
            </w:r>
          </w:p>
        </w:tc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Regla «toda cifra se verifica», ya en el temario. Matriz de responsabilidad del T5.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La regla se sostiene y se cita con el número de la política. En T5 el líder entra a la matriz como aprobador, porque la política le asigna ese rol.</w:t>
            </w:r>
          </w:p>
        </w:tc>
      </w:tr>
      <w:tr>
        <w:trPr>
          <w:cantSplit/>
        </w:trPr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5.4 · El uso de IA en contenidos o decisiones que afecten a clientes o colaboradores debe ser identificable y, cuando aplique, informado.</w:t>
            </w:r>
          </w:p>
        </w:tc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T5, respuestas al cliente.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Se agrega la pregunta «¿hay que informar que esto lo apoyó una IA?» al banco de respuestas y a la matriz.</w:t>
            </w:r>
          </w:p>
        </w:tc>
      </w:tr>
      <w:tr>
        <w:trPr>
          <w:cantSplit/>
        </w:trPr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10 · La capacitación debe incluir principios éticos, riesgos de seguridad y datos, herramientas autorizadas y canales de consulta y reporte.</w:t>
            </w:r>
          </w:p>
        </w:tc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Bloque «El marco de uso responsable» del T1.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bloque se reorganiza con esos cuatro contenidos, en ese orden. Así el Taller 1 cuenta como la capacitación que la política exige.</w:t>
            </w:r>
          </w:p>
        </w:tc>
      </w:tr>
    </w:tbl>
    <w:p>
      <w:pPr>
        <w:spacing w:after="120"/>
      </w:pP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c>
          <w:tcPr>
            <w:tcW w:type="dxa" w:w="9972"/>
            <w:tcBorders>
              <w:top w:val="none" w:color="FFFFFF" w:sz="0"/>
              <w:left w:val="single" w:color="FCC800" w:sz="36"/>
              <w:bottom w:val="none" w:color="FFFFFF" w:sz="0"/>
              <w:right w:val="none" w:color="FFFFFF" w:sz="0"/>
            </w:tcBorders>
            <w:shd w:fill="F7F7F5" w:color="F7F7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24"/>
                <w:szCs w:val="24"/>
              </w:rPr>
              <w:t xml:space="preserve">ALCANCE DE LA POLÍTICA</w:t>
            </w:r>
          </w:p>
          <w:p>
            <w:pPr>
              <w:spacing w:after="60" w:line="28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20"/>
                <w:szCs w:val="20"/>
              </w:rPr>
              <w:t xml:space="preserve">El documento está emitido por GYJ Ferreterías S.A. La dirección del programa confirmó el 14 de octubre que rige para las siete empresas. El Taller 1 la enseña como la regla de G&amp;J en todas.</w:t>
            </w:r>
          </w:p>
        </w:tc>
      </w:tr>
    </w:tbl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3 · AJUSTES QUE APLICAN A LOS SEIS TALLERES</w:t>
      </w: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A · HERRAMIENTA Y CUENTA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La sección 3 del temario, «Herramientas del programa», se reescribe. Texto propuesto para el párrafo de apertura y la regla: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c>
          <w:tcPr>
            <w:tcW w:type="dxa" w:w="9972"/>
            <w:tcBorders>
              <w:top w:val="none" w:color="FFFFFF" w:sz="0"/>
              <w:left w:val="single" w:color="FCC800" w:sz="36"/>
              <w:bottom w:val="none" w:color="FFFFFF" w:sz="0"/>
              <w:right w:val="none" w:color="FFFFFF" w:sz="0"/>
            </w:tcBorders>
            <w:shd w:fill="F7F7F5" w:color="F7F7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24"/>
                <w:szCs w:val="24"/>
              </w:rPr>
              <w:t xml:space="preserve">TEXTO NUEVO · SECCIÓN 3 DEL TEMARIO</w:t>
            </w:r>
          </w:p>
          <w:p>
            <w:pPr>
              <w:spacing w:after="60" w:line="28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20"/>
                <w:szCs w:val="20"/>
              </w:rPr>
              <w:t xml:space="preserve">El programa usa las herramientas que TIC autoriza por escrito, con la cuenta que la política de IA indica. La lista vigente va en el kit del docente y se actualiza cuando TIC la cambie.</w:t>
            </w:r>
          </w:p>
          <w:p>
            <w:pPr>
              <w:spacing w:after="60" w:line="28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20"/>
                <w:szCs w:val="20"/>
              </w:rPr>
              <w:t xml:space="preserve">Con una cuenta personal solo se trabaja con el material del kit: casos y archivos preparados por el programa, sin datos de la empresa ni de personas. Toda tarea con información real se hace en la herramienta y la cuenta autorizadas.</w:t>
            </w:r>
          </w:p>
          <w:p>
            <w:pPr>
              <w:spacing w:after="60" w:line="28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20"/>
                <w:szCs w:val="20"/>
              </w:rPr>
              <w:t xml:space="preserve">Antes de pegar cualquier texto o cargar cualquier archivo, la persona le quita nombres, cédulas, teléfonos, correos, direcciones y cargos. Esa es la primera práctica del Taller 1.</w:t>
            </w:r>
          </w:p>
        </w:tc>
      </w:tr>
    </w:tbl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B · MATERIAL DEL KIT EN LUGAR DE ARCHIVOS REALES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Cada taller trae su archivo de práctica preparado por el programa, construido sobre los casos de las mesas, con datos ficticios. Lista mínima: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Un WhatsApp con 15 solicitudes de cotización de 5 a 20 ítems; una bandeja de 40 correos del lunes; un export de cartera con el mismo cliente escrito de tres formas; la nota de voz de una visita; un reclamo por retraso.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En el temario, cada ejercicio que dice «con un archivo propio» o «con una base propia» pasa a decir «con el archivo del kit o con uno propio sin datos de personas».</w:t>
      </w: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C · DOS RITMOS EN EL MISMO ENCUENTRO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G1 Arranque, 38 personas: el bloque «Primer contacto guiado» del T1 se extiende y el consultorio del Taller 1 se reserva para ellas. El docente las nombra al inicio y las invita en persona.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G4 Referentes, 38 personas: durante la práctica apoyan a dos compañeros cada una, como ya dice el temario. Los 17 candidatos comerciales a formador interno empiezan ahí su rol.</w:t>
      </w: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D · CELULAR, BLOQUEOS Y CONEXIÓN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Cada práctica tiene una versión para celular: el prompt se copia desde el kit en lugar de escribirlo, y la evidencia es una captura.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39 comerciales sin computador propio necesitan sala con equipo o una pareja de trabajo. Gestión Humana asigna el lugar antes de cada encuentro 1.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La grabación en la plataforma deja de ser opcional: 32 comerciales reportan conexión intermitente o solo datos del celular.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Hasta que TIC confirme la lista de dominios habilitados, el docente lleva un plan B para los 142 con bloqueos: la demostración se sigue en pantalla compartida y la práctica se hace desde el celular con datos.</w:t>
      </w: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E · EL FORMATO «MI PROCESO» MIDE HORAS SEMANALES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El diagnóstico estima cerca de 2.200 horas semanales de trabajo repetitivo en las 482 personas que respondieron. Para que esa cifra sirva al cierre, el formato pide minutos por vez y veces por semana, y el reporte mensual suma las horas liberadas. El campo ya existe en el formato; lo que cambia es que el docente lo exige lleno en cada encuentro 2.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4 · AJUSTES POR TALLER · COMERCIAL</w:t>
      </w:r>
    </w:p>
    <w:p>
      <w:pPr>
        <w:keepNext/>
        <w:spacing w:after="100" w:before="280"/>
      </w:pPr>
      <w:r>
        <w:rPr>
          <w:rFonts w:ascii="Barlow Condensed" w:cs="Barlow Condensed" w:eastAsia="Barlow Condensed" w:hAnsi="Barlow Condensed"/>
          <w:b/>
          <w:bCs/>
          <w:color w:val="0D0D0C"/>
          <w:sz w:val="28"/>
          <w:szCs w:val="28"/>
        </w:rPr>
        <w:t xml:space="preserve">TALLER 1 · IA PARA EL ASESOR COMERCIAL</w:t>
      </w:r>
    </w:p>
    <w:p>
      <w:pPr>
        <w:spacing w:after="120" w:line="300"/>
        <w:rPr>
          <w:color w:val="56564F"/>
        </w:rPr>
      </w:pPr>
      <w:r>
        <w:rPr>
          <w:rFonts w:ascii="Atkinson Hyperlegible Next" w:cs="Atkinson Hyperlegible Next" w:eastAsia="Atkinson Hyperlegible Next" w:hAnsi="Atkinson Hyperlegible Next"/>
          <w:color w:val="56564F"/>
          <w:sz w:val="21"/>
          <w:szCs w:val="21"/>
        </w:rPr>
        <w:t xml:space="preserve">Encuentro 1 el viernes 23 de octubre, consultorio el miércoles 28, encuentro 2 el viernes 30. Los ajustes entran en los dos encuentros, en el kit y en la evaluación.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88"/>
        <w:gridCol w:w="2593"/>
        <w:gridCol w:w="3191"/>
      </w:tblGrid>
      <w:tr>
        <w:trPr>
          <w:tblHeader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QUÉ CAMBIA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DÓNDE SE CAMBIA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POR QUÉ · DATO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caso de clase es el de las 15 cotizaciones por WhatsApp: demostración en el encuentro 1 y primera instrucción reutilizable de cada persona en el encuentro 2, antes de pasar a una tarea propia.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bloques «Casos del rol comercial» y «Mi primera tarea con IA». Guía, demostración y «Encuentro 2 · aplicación».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Ítem S_1 con 30,0 % de acierto, el más bajo del diagnóstico. Aparece también en las respuestas abiertas.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segundo caso de clase es ordenar los 40 correos del lunes: extraer qué pide cada uno, quién y para cuándo, en una tabla.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bloque «Casos del rol comercial»: «ordenar los pendientes del lunes» pasa de mención a ejercicio.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Ítem S_5 con 46,7 %.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Apertura del encuentro 1 con la política: los cuatro contenidos que exige el numeral 10, en diez minutos, y la firma pendiente resuelta en el mismo espacio con Gestión Humana.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bloque «El marco de uso responsable de G&amp;J». Guía, bloque «Uso responsable».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52 comerciales de 150 sin firmar o sin saber de la política.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La regla de cuenta se enseña con el dato: «la mitad de ustedes usa cuenta personal; con ella solo se practica con el material del kit».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Mismo bloque.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Política 7.2. 57 % de los comerciales usa cuenta personal.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Anonimizar en dos minutos: antes de pegar el WhatsApp, se reemplazan nombre y teléfono por «Cliente A». Se demuestra y se exige en toda práctica.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bloque «Cómo se le habla a una IA», como paso previo. Guía, demostración, paso 2.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Política 7.3. El mensaje real de la demostración trae nombre y número del cliente.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Evaluación: las preguntas 6 y 7 se escriben sobre casos de la política: un listado de clientes, la cédula de un comprador, el precio de una cotización, una ficha técnica pública.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Guía, «Qué debe medir la evaluación», filas 6 y 7.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Política 7.2 y 7.3.</w:t>
            </w:r>
          </w:p>
        </w:tc>
      </w:tr>
    </w:tbl>
    <w:p>
      <w:pPr>
        <w:keepNext/>
        <w:spacing w:after="100" w:before="280"/>
      </w:pPr>
      <w:r>
        <w:rPr>
          <w:rFonts w:ascii="Barlow Condensed" w:cs="Barlow Condensed" w:eastAsia="Barlow Condensed" w:hAnsi="Barlow Condensed"/>
          <w:b/>
          <w:bCs/>
          <w:color w:val="0D0D0C"/>
          <w:sz w:val="28"/>
          <w:szCs w:val="28"/>
        </w:rPr>
        <w:t xml:space="preserve">TALLER 2 · INTELIGENCIA DE MERCADO CON IA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88"/>
        <w:gridCol w:w="2593"/>
        <w:gridCol w:w="3191"/>
      </w:tblGrid>
      <w:tr>
        <w:trPr>
          <w:tblHeader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QUÉ CAMBIA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DÓNDE SE CAMBIA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POR QUÉ · DATO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Se agrega un bloque de cierre: de la tabla al mensaje. Cómo contar los resultados del mes en diez minutos: qué pasó, por qué, qué propongo, qué necesito.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temáticas del T2 comercial, nuevo bloque antes de «Compartirlo». Guía, «Lo que no puede faltar».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Ítem D_5 con 63,3 %.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export de cartera de la demostración es el del kit, con clientes ficticios. El ejercicio «cada quien limpia una base propia» pasa a «una base propia sin nombres de clientes o la del kit».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Guía, demostración y ejercicio del T2 comercial.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Política 7.3: listados de clientes no entran a herramientas no autorizadas.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La clasificación de tareas con los seis destinos arranca con las horas semanales que cada persona declaró en el diagnóstico.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bloque de los seis destinos.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54 comerciales dedican más de 5 horas semanales a tareas repetitivas.</w:t>
            </w:r>
          </w:p>
        </w:tc>
      </w:tr>
    </w:tbl>
    <w:p>
      <w:pPr>
        <w:keepNext/>
        <w:spacing w:after="100" w:before="280"/>
      </w:pPr>
      <w:r>
        <w:rPr>
          <w:rFonts w:ascii="Barlow Condensed" w:cs="Barlow Condensed" w:eastAsia="Barlow Condensed" w:hAnsi="Barlow Condensed"/>
          <w:b/>
          <w:bCs/>
          <w:color w:val="0D0D0C"/>
          <w:sz w:val="28"/>
          <w:szCs w:val="28"/>
        </w:rPr>
        <w:t xml:space="preserve">TALLER 3 · VENTA CONSULTIVA Y EXPERIENCIA DEL CLIENTE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88"/>
        <w:gridCol w:w="2593"/>
        <w:gridCol w:w="3191"/>
      </w:tblGrid>
      <w:tr>
        <w:trPr>
          <w:tblHeader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QUÉ CAMBIA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DÓNDE SE CAMBIA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POR QUÉ · DATO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Bloque nuevo: del cuaderno al tablero de cotizaciones. Qué convierte una solicitud en pendiente con responsable y fecha, y cómo verla en una herramienta compartida con el líder.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temáticas del T3 comercial, después de «la solicitud completa». Guía, «Lo que no puede faltar».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84 de 150 comerciales llevan pendientes en papel; 11 usan una herramienta compartida. Carolina pidió este taller.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La bandeja de 40 correos del lunes es el caso de flujo: distinguir trabajo de espera y armar la solicitud completa desde ahí.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bloque «recorrido del pedido».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Ítem S_5 con 46,7 %.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caso del pedido retenido por cartera se trabaja completo: causa, fecha nueva y alternativa, con la persona de cartera en el ejercicio.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Ya está en el temario. Sube a demostración principal.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Ítem S_4 con 75,3 %.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Construir un documento entre cuatro personas: coautoría en Word o Excel compartido en lugar de versiones por correo.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bloque «la solicitud completa», como herramienta.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Ítem D_1 con 76,7 %.</w:t>
            </w:r>
          </w:p>
        </w:tc>
      </w:tr>
    </w:tbl>
    <w:p>
      <w:pPr>
        <w:keepNext/>
        <w:spacing w:after="100" w:before="280"/>
      </w:pPr>
      <w:r>
        <w:rPr>
          <w:rFonts w:ascii="Barlow Condensed" w:cs="Barlow Condensed" w:eastAsia="Barlow Condensed" w:hAnsi="Barlow Condensed"/>
          <w:b/>
          <w:bCs/>
          <w:color w:val="0D0D0C"/>
          <w:sz w:val="28"/>
          <w:szCs w:val="28"/>
        </w:rPr>
        <w:t xml:space="preserve">TALLER 4 · GESTIÓN COMERCIAL BASADA EN DATOS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88"/>
        <w:gridCol w:w="2593"/>
        <w:gridCol w:w="3191"/>
      </w:tblGrid>
      <w:tr>
        <w:trPr>
          <w:tblHeader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QUÉ CAMBIA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DÓNDE SE CAMBIA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POR QUÉ · DATO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Nivelación de CRM: antes del mapa de fuentes, veinte minutos con los 26 que se traban o no lo conocen, y los que «podrían enseñarlo» como apoyo.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bloque «El CRM como memoria del área».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26 comerciales se traban o no conocen el CRM; 27 dicen que podrían enseñarlo. Salesforce entra después.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La nota de voz de la visita se registra sin nombre ni teléfono del cliente; el registro completo va al CRM, que es el sistema autorizado.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Guía, demostración del T4 comercial.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Política 7.3.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Mensaje de apertura: la fuente oficial manda. Si el dato está en el CRM o en la lista de precios, se usa de ahí; el archivo propio es la excepción.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bloque «mapa de fuentes».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35 comerciales rehacen en archivo propio lo que está en el sistema.</w:t>
            </w:r>
          </w:p>
        </w:tc>
      </w:tr>
    </w:tbl>
    <w:p>
      <w:pPr>
        <w:keepNext/>
        <w:spacing w:after="100" w:before="280"/>
      </w:pPr>
      <w:r>
        <w:rPr>
          <w:rFonts w:ascii="Barlow Condensed" w:cs="Barlow Condensed" w:eastAsia="Barlow Condensed" w:hAnsi="Barlow Condensed"/>
          <w:b/>
          <w:bCs/>
          <w:color w:val="0D0D0C"/>
          <w:sz w:val="28"/>
          <w:szCs w:val="28"/>
        </w:rPr>
        <w:t xml:space="preserve">TALLER 5 · ATENCIÓN AL CLIENTE EN CANALES DIGITALES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88"/>
        <w:gridCol w:w="2593"/>
        <w:gridCol w:w="3191"/>
      </w:tblGrid>
      <w:tr>
        <w:trPr>
          <w:tblHeader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QUÉ CAMBIA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DÓNDE SE CAMBIA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POR QUÉ · DATO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La matriz de responsabilidad incluye al líder como aprobador de las respuestas que salen al cliente, con el número de la política.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 y guía, bloque de la matriz.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Política 9: los líderes validan los resultados antes de su uso.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Se agrega al banco de respuestas la pregunta de transparencia: cuándo se informa que una respuesta tuvo apoyo de IA.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Guía, «Lo que no puede faltar».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Política 5.4.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reclamo de la demostración es el del kit; las respuestas base de cada persona se escriben sin datos del cliente.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Guía, demostración y ejercicio.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Política 7.3.</w:t>
            </w:r>
          </w:p>
        </w:tc>
      </w:tr>
    </w:tbl>
    <w:p>
      <w:pPr>
        <w:keepNext/>
        <w:spacing w:after="100" w:before="280"/>
      </w:pPr>
      <w:r>
        <w:rPr>
          <w:rFonts w:ascii="Barlow Condensed" w:cs="Barlow Condensed" w:eastAsia="Barlow Condensed" w:hAnsi="Barlow Condensed"/>
          <w:b/>
          <w:bCs/>
          <w:color w:val="0D0D0C"/>
          <w:sz w:val="28"/>
          <w:szCs w:val="28"/>
        </w:rPr>
        <w:t xml:space="preserve">TALLER 6 · PROYECTO COMERCIAL CON IA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88"/>
        <w:gridCol w:w="2593"/>
        <w:gridCol w:w="3191"/>
      </w:tblGrid>
      <w:tr>
        <w:trPr>
          <w:tblHeader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QUÉ CAMBIA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DÓNDE SE CAMBIA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POR QUÉ · DATO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La línea base de cada proyecto sale del formato «Mi proceso» acumulado: horas semanales antes y después.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bloque «cómo medir la línea base».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Cerca de 2.200 horas semanales estimadas como denominador del programa.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Los informes que comercial hace y otra área también hace son los primeros candidatos al Banco de Retos.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bloque «de la queja al reto».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62 comerciales reportan informes duplicados y 41 creen que sí.</w:t>
            </w:r>
          </w:p>
        </w:tc>
      </w:tr>
    </w:tbl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5 · RETOS DE LOS JUEVES QUE CAMBIAN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6"/>
        <w:gridCol w:w="2593"/>
        <w:gridCol w:w="3390"/>
        <w:gridCol w:w="2393"/>
      </w:tblGrid>
      <w:tr>
        <w:trPr>
          <w:tblHeader/>
        </w:trPr>
        <w:tc>
          <w:tcPr>
            <w:tcW w:type="dxa" w:w="15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RETO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COMO ESTÁ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COMO QUEDA</w:t>
            </w:r>
          </w:p>
        </w:tc>
        <w:tc>
          <w:tcPr>
            <w:tcW w:type="dxa" w:w="23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15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5 · 22 de octubre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Pídele a la IA un resumen de la política de IA de G&amp;J y verifica que sea fiel.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Lee la política y escribe tres datos de tu trabajo que nunca pegarías en una IA. Después pregúntale a la IA qué datos nunca debería recibir y compara las dos listas.</w:t>
            </w:r>
          </w:p>
        </w:tc>
        <w:tc>
          <w:tcPr>
            <w:tcW w:type="dxa" w:w="23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La política es un documento interno. Pegarla en una herramienta pública con cuenta personal contradice su numeral 7.2.</w:t>
            </w:r>
          </w:p>
        </w:tc>
      </w:tr>
      <w:tr>
        <w:trPr>
          <w:cantSplit/>
        </w:trPr>
        <w:tc>
          <w:tcPr>
            <w:tcW w:type="dxa" w:w="15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10 · 26 de noviembre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Limpia con IA una lista con nombres repetidos o mal escritos.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Limpia la lista del kit, o una propia a la que le quitaste nombres y contactos.</w:t>
            </w:r>
          </w:p>
        </w:tc>
        <w:tc>
          <w:tcPr>
            <w:tcW w:type="dxa" w:w="23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Política 7.3.</w:t>
            </w:r>
          </w:p>
        </w:tc>
      </w:tr>
      <w:tr>
        <w:trPr>
          <w:cantSplit/>
        </w:trPr>
        <w:tc>
          <w:tcPr>
            <w:tcW w:type="dxa" w:w="15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17 · 28 de enero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Dale a la IA un documento oficial de tu área y hazle tres preguntas.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Dale a la IA un documento oficial de tu área sin datos de personas, en la herramienta autorizada, y hazle tres preguntas.</w:t>
            </w:r>
          </w:p>
        </w:tc>
        <w:tc>
          <w:tcPr>
            <w:tcW w:type="dxa" w:w="23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Política 6 y 7.3.</w:t>
            </w:r>
          </w:p>
        </w:tc>
      </w:tr>
      <w:tr>
        <w:trPr>
          <w:cantSplit/>
        </w:trPr>
        <w:tc>
          <w:tcPr>
            <w:tcW w:type="dxa" w:w="15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22 · 4 de marzo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Prepara con IA el acta de una reunión con decisiones, responsables y fechas.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Igual, con los responsables escritos por cargo.</w:t>
            </w:r>
          </w:p>
        </w:tc>
        <w:tc>
          <w:tcPr>
            <w:tcW w:type="dxa" w:w="23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Política 7.3.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34" w:bottom="11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00"/>
      </w:tabs>
    </w:pPr>
    <w:r>
      <w:rPr>
        <w:rFonts w:ascii="Atkinson Hyperlegible Next" w:cs="Atkinson Hyperlegible Next" w:eastAsia="Atkinson Hyperlegible Next" w:hAnsi="Atkinson Hyperlegible Next"/>
        <w:color w:val="56564F"/>
        <w:sz w:val="16"/>
        <w:szCs w:val="16"/>
      </w:rPr>
      <w:t xml:space="preserve">Pivot Power · documento de trabajo · 27 de octubre de 2026</w:t>
    </w:r>
    <w:r>
      <w:rPr>
        <w:rFonts w:ascii="Atkinson Hyperlegible Next" w:cs="Atkinson Hyperlegible Next" w:eastAsia="Atkinson Hyperlegible Next" w:hAnsi="Atkinson Hyperlegible Next"/>
        <w:sz w:val="16"/>
        <w:szCs w:val="16"/>
      </w:rPr>
      <w:t xml:space="preserve">	</w:t>
    </w:r>
    <w:r>
      <w:rPr>
        <w:rFonts w:ascii="Barlow Condensed" w:cs="Barlow Condensed" w:eastAsia="Barlow Condensed" w:hAnsi="Barlow Condensed"/>
        <w:b/>
        <w:bCs/>
        <w:color w:val="0D0D0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Barlow Condensed" w:cs="Barlow Condensed" w:eastAsia="Barlow Condensed" w:hAnsi="Barlow Condensed"/>
        <w:b/>
        <w:bCs/>
        <w:color w:val="56564F"/>
        <w:spacing w:val="30"/>
        <w:sz w:val="17"/>
        <w:szCs w:val="17"/>
      </w:rPr>
      <w:t xml:space="preserve">SUPER HUMANOS · AJUSTES A LOS TALLERES · PERFIL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360" w:hanging="240"/>
      </w:pPr>
      <w:rPr>
        <w:rFonts w:ascii="Barlow Condensed" w:cs="Barlow Condensed" w:eastAsia="Barlow Condensed" w:hAnsi="Barlow Condensed"/>
        <w:b/>
        <w:bCs/>
        <w:color w:val="8A6B00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tkinson Hyperlegible Next" w:cs="Atkinson Hyperlegible Next" w:eastAsia="Atkinson Hyperlegible Next" w:hAnsi="Atkinson Hyperlegible Next"/>
        <w:color w:val="0D0D0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Ajustes a los talleres a partir del diagnóstico y la política de IA</dc:title>
  <dc:creator>Pivot Power</dc:creator>
  <cp:lastModifiedBy>Un-named</cp:lastModifiedBy>
  <cp:revision>1</cp:revision>
  <dcterms:created xsi:type="dcterms:W3CDTF">2026-10-27T20:07:13.670Z</dcterms:created>
  <dcterms:modified xsi:type="dcterms:W3CDTF">2026-10-27T20:07:13.670Z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