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8D645" w14:textId="77777777" w:rsidR="00DB08EA" w:rsidRPr="005E3A2C" w:rsidRDefault="00DB08EA">
      <w:pPr>
        <w:rPr>
          <w:b/>
          <w:sz w:val="24"/>
        </w:rPr>
      </w:pPr>
      <w:proofErr w:type="spellStart"/>
      <w:r w:rsidRPr="005E3A2C">
        <w:rPr>
          <w:b/>
          <w:sz w:val="24"/>
        </w:rPr>
        <w:t>Supplementary</w:t>
      </w:r>
      <w:proofErr w:type="spellEnd"/>
      <w:r w:rsidRPr="005E3A2C">
        <w:rPr>
          <w:b/>
          <w:sz w:val="24"/>
        </w:rPr>
        <w:t xml:space="preserve"> </w:t>
      </w:r>
      <w:proofErr w:type="spellStart"/>
      <w:r w:rsidRPr="005E3A2C">
        <w:rPr>
          <w:b/>
          <w:sz w:val="24"/>
        </w:rPr>
        <w:t>Material</w:t>
      </w:r>
      <w:proofErr w:type="spellEnd"/>
    </w:p>
    <w:p w14:paraId="705E26CB" w14:textId="2018BE79" w:rsidR="00594BA4" w:rsidRDefault="00594BA4">
      <w:r>
        <w:rPr>
          <w:noProof/>
          <w:lang w:eastAsia="fi-FI"/>
        </w:rPr>
        <w:drawing>
          <wp:inline distT="0" distB="0" distL="0" distR="0" wp14:anchorId="27B7B873" wp14:editId="4E2BCC59">
            <wp:extent cx="6120130" cy="612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lementary_kuvio_murrosian_maaritys_poja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34C7" w14:textId="68125315" w:rsidR="00594BA4" w:rsidRPr="00594BA4" w:rsidRDefault="00594BA4" w:rsidP="005E3A2C">
      <w:pPr>
        <w:spacing w:line="360" w:lineRule="auto"/>
        <w:rPr>
          <w:lang w:val="en-US"/>
        </w:rPr>
      </w:pPr>
      <w:r w:rsidRPr="00FA7D10">
        <w:rPr>
          <w:lang w:val="en-US"/>
        </w:rPr>
        <w:t xml:space="preserve">Supplementary Figure 1. </w:t>
      </w:r>
      <w:r>
        <w:rPr>
          <w:lang w:val="en-US"/>
        </w:rPr>
        <w:t xml:space="preserve">Determined pubertal onsets based on the </w:t>
      </w:r>
      <w:r w:rsidR="005E3A2C">
        <w:rPr>
          <w:lang w:val="en-US"/>
        </w:rPr>
        <w:t>testis length measurements for four</w:t>
      </w:r>
      <w:r>
        <w:rPr>
          <w:lang w:val="en-US"/>
        </w:rPr>
        <w:t xml:space="preserve"> boys.</w:t>
      </w:r>
    </w:p>
    <w:p w14:paraId="010C9A07" w14:textId="4D5F86E1" w:rsidR="00C64CA8" w:rsidRPr="00594BA4" w:rsidRDefault="0000645C" w:rsidP="009571BE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64C63A1B" wp14:editId="62655896">
            <wp:extent cx="6120130" cy="6528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io_aphv_phv_and_height8y18y_vs_pubertal_onset_girl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BD0" w14:textId="75D0B26C" w:rsidR="00A85BCA" w:rsidRDefault="00A85BCA" w:rsidP="005E3A2C">
      <w:pPr>
        <w:spacing w:line="360" w:lineRule="auto"/>
        <w:rPr>
          <w:lang w:val="en-US"/>
        </w:rPr>
      </w:pPr>
      <w:r>
        <w:rPr>
          <w:lang w:val="en-US"/>
        </w:rPr>
        <w:lastRenderedPageBreak/>
        <w:t>Supplementary Figure 2</w:t>
      </w:r>
      <w:r w:rsidRPr="00FA7D10">
        <w:rPr>
          <w:lang w:val="en-US"/>
        </w:rPr>
        <w:t xml:space="preserve">. </w:t>
      </w:r>
      <w:r w:rsidR="005E3A2C">
        <w:rPr>
          <w:lang w:val="en-US"/>
        </w:rPr>
        <w:t xml:space="preserve">For girls: </w:t>
      </w:r>
      <w:r>
        <w:rPr>
          <w:lang w:val="en-US"/>
        </w:rPr>
        <w:t>Individual APHVs,</w:t>
      </w:r>
      <w:r w:rsidRPr="00722EED">
        <w:rPr>
          <w:lang w:val="en-US"/>
        </w:rPr>
        <w:t xml:space="preserve"> PHVs</w:t>
      </w:r>
      <w:r w:rsidR="005817B7">
        <w:rPr>
          <w:lang w:val="en-US"/>
        </w:rPr>
        <w:t>,</w:t>
      </w:r>
      <w:r w:rsidRPr="00722EED">
        <w:rPr>
          <w:lang w:val="en-US"/>
        </w:rPr>
        <w:t xml:space="preserve"> </w:t>
      </w:r>
      <w:r>
        <w:rPr>
          <w:lang w:val="en-US"/>
        </w:rPr>
        <w:t xml:space="preserve">and estimated heights at the ages of 8 and 18 years </w:t>
      </w:r>
      <w:r w:rsidRPr="00722EED">
        <w:rPr>
          <w:lang w:val="en-US"/>
        </w:rPr>
        <w:t>plotted against the obser</w:t>
      </w:r>
      <w:r w:rsidR="00221096">
        <w:rPr>
          <w:lang w:val="en-US"/>
        </w:rPr>
        <w:t>ved pubertal onset intervals</w:t>
      </w:r>
      <w:r w:rsidRPr="00722EED">
        <w:rPr>
          <w:lang w:val="en-US"/>
        </w:rPr>
        <w:t>. Lines are regression lines between the height markers an</w:t>
      </w:r>
      <w:r w:rsidR="00221096">
        <w:rPr>
          <w:lang w:val="en-US"/>
        </w:rPr>
        <w:t xml:space="preserve">d the </w:t>
      </w:r>
      <w:r w:rsidRPr="00722EED">
        <w:rPr>
          <w:lang w:val="en-US"/>
        </w:rPr>
        <w:t xml:space="preserve">midpoint of the </w:t>
      </w:r>
      <w:r>
        <w:rPr>
          <w:lang w:val="en-US"/>
        </w:rPr>
        <w:t xml:space="preserve">observed </w:t>
      </w:r>
      <w:r w:rsidR="00221096">
        <w:rPr>
          <w:lang w:val="en-US"/>
        </w:rPr>
        <w:t>pubertal interval.</w:t>
      </w:r>
    </w:p>
    <w:p w14:paraId="358A39F2" w14:textId="15DBCF23" w:rsidR="00A85BCA" w:rsidRDefault="00CF0239" w:rsidP="00A85BCA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7663D738" wp14:editId="026F9898">
            <wp:extent cx="6120130" cy="65284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io_aphv_phv_and_height8y18y_vs_pubertal_onset_boy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D49" w14:textId="36398522" w:rsidR="00CF0239" w:rsidRDefault="00CF0239" w:rsidP="005E3A2C">
      <w:pPr>
        <w:spacing w:line="360" w:lineRule="auto"/>
        <w:rPr>
          <w:lang w:val="en-US"/>
        </w:rPr>
      </w:pPr>
      <w:commentRangeStart w:id="0"/>
      <w:r>
        <w:rPr>
          <w:lang w:val="en-US"/>
        </w:rPr>
        <w:t>Supplementary Figure 3</w:t>
      </w:r>
      <w:r w:rsidRPr="00FA7D10">
        <w:rPr>
          <w:lang w:val="en-US"/>
        </w:rPr>
        <w:t>.</w:t>
      </w:r>
      <w:r w:rsidR="005E3A2C">
        <w:rPr>
          <w:lang w:val="en-US"/>
        </w:rPr>
        <w:t xml:space="preserve"> </w:t>
      </w:r>
      <w:commentRangeEnd w:id="0"/>
      <w:r w:rsidR="005C2CCE">
        <w:rPr>
          <w:rStyle w:val="CommentReference"/>
        </w:rPr>
        <w:commentReference w:id="0"/>
      </w:r>
      <w:r w:rsidR="005E3A2C">
        <w:rPr>
          <w:lang w:val="en-US"/>
        </w:rPr>
        <w:t>For boys:</w:t>
      </w:r>
      <w:r w:rsidRPr="00FA7D10">
        <w:rPr>
          <w:lang w:val="en-US"/>
        </w:rPr>
        <w:t xml:space="preserve"> </w:t>
      </w:r>
      <w:r>
        <w:rPr>
          <w:lang w:val="en-US"/>
        </w:rPr>
        <w:t>Individual APHVs,</w:t>
      </w:r>
      <w:r w:rsidRPr="00722EED">
        <w:rPr>
          <w:lang w:val="en-US"/>
        </w:rPr>
        <w:t xml:space="preserve"> PHVs</w:t>
      </w:r>
      <w:r>
        <w:rPr>
          <w:lang w:val="en-US"/>
        </w:rPr>
        <w:t>,</w:t>
      </w:r>
      <w:r w:rsidRPr="00722EED">
        <w:rPr>
          <w:lang w:val="en-US"/>
        </w:rPr>
        <w:t xml:space="preserve"> </w:t>
      </w:r>
      <w:r>
        <w:rPr>
          <w:lang w:val="en-US"/>
        </w:rPr>
        <w:t xml:space="preserve">and estimated heights at the ages of 8 and 18 years </w:t>
      </w:r>
      <w:r w:rsidRPr="00722EED">
        <w:rPr>
          <w:lang w:val="en-US"/>
        </w:rPr>
        <w:t>plotted against the observed puber</w:t>
      </w:r>
      <w:r w:rsidR="005E3A2C">
        <w:rPr>
          <w:lang w:val="en-US"/>
        </w:rPr>
        <w:t>tal onsets</w:t>
      </w:r>
      <w:r w:rsidRPr="00722EED">
        <w:rPr>
          <w:lang w:val="en-US"/>
        </w:rPr>
        <w:t>. Lines are regression lines between the height markers an</w:t>
      </w:r>
      <w:r w:rsidR="00221096">
        <w:rPr>
          <w:lang w:val="en-US"/>
        </w:rPr>
        <w:t>d the observed pubertal onsets.</w:t>
      </w:r>
    </w:p>
    <w:p w14:paraId="57B53733" w14:textId="304E4CD7" w:rsidR="00B62F58" w:rsidRDefault="00B62F58" w:rsidP="005E3A2C">
      <w:pPr>
        <w:spacing w:line="360" w:lineRule="auto"/>
        <w:rPr>
          <w:lang w:val="en-US"/>
        </w:rPr>
      </w:pPr>
    </w:p>
    <w:p w14:paraId="46E6B31D" w14:textId="1B7245AA" w:rsidR="00B62F58" w:rsidRDefault="00B62F58" w:rsidP="005E3A2C">
      <w:pPr>
        <w:spacing w:line="360" w:lineRule="auto"/>
        <w:rPr>
          <w:lang w:val="en-US"/>
        </w:rPr>
      </w:pPr>
    </w:p>
    <w:p w14:paraId="09E75457" w14:textId="0A9B4F52" w:rsidR="00B62F58" w:rsidRDefault="00B62F58" w:rsidP="005E3A2C">
      <w:pPr>
        <w:spacing w:line="360" w:lineRule="auto"/>
        <w:rPr>
          <w:lang w:val="en-US"/>
        </w:rPr>
      </w:pPr>
    </w:p>
    <w:p w14:paraId="033EBBBC" w14:textId="18B4BE97" w:rsidR="00B62F58" w:rsidRDefault="00B62F58" w:rsidP="005E3A2C">
      <w:pPr>
        <w:spacing w:line="360" w:lineRule="auto"/>
        <w:rPr>
          <w:lang w:val="en-US"/>
        </w:rPr>
      </w:pPr>
    </w:p>
    <w:p w14:paraId="69006F89" w14:textId="47BEE45F" w:rsidR="00B62F58" w:rsidRPr="001B4448" w:rsidRDefault="00B62F58" w:rsidP="005E3A2C">
      <w:pPr>
        <w:spacing w:line="360" w:lineRule="auto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014BE256" wp14:editId="2B07A521">
            <wp:extent cx="6120130" cy="6676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io_obs_vs_pred_50_tytto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A479" w14:textId="5CD4D3ED" w:rsidR="001B4448" w:rsidRPr="007A1F58" w:rsidRDefault="001B4448" w:rsidP="00A85BCA">
      <w:pPr>
        <w:rPr>
          <w:lang w:val="en-US"/>
        </w:rPr>
      </w:pPr>
    </w:p>
    <w:p w14:paraId="6E8D9C59" w14:textId="002970FD" w:rsidR="00F74C2D" w:rsidRDefault="00F74C2D" w:rsidP="005E3A2C">
      <w:pPr>
        <w:spacing w:line="360" w:lineRule="auto"/>
        <w:rPr>
          <w:lang w:val="en-US"/>
        </w:rPr>
      </w:pPr>
      <w:r>
        <w:rPr>
          <w:lang w:val="en-US"/>
        </w:rPr>
        <w:t>Supplementary Figure 4. The observed pubertal onset intervals and the predicted pubertal onsets with 50%, 75% and 95% prediction intervals for</w:t>
      </w:r>
      <w:r w:rsidR="007558DE">
        <w:rPr>
          <w:lang w:val="en-US"/>
        </w:rPr>
        <w:t xml:space="preserve"> 50</w:t>
      </w:r>
      <w:r>
        <w:rPr>
          <w:lang w:val="en-US"/>
        </w:rPr>
        <w:t xml:space="preserve"> randomly chosen girls.</w:t>
      </w:r>
    </w:p>
    <w:p w14:paraId="441CC918" w14:textId="7A57A987" w:rsidR="00A85BCA" w:rsidRDefault="00B62F58" w:rsidP="00FA7D10">
      <w:pPr>
        <w:rPr>
          <w:lang w:val="en-US"/>
        </w:rPr>
      </w:pPr>
      <w:bookmarkStart w:id="1" w:name="_GoBack"/>
      <w:r>
        <w:rPr>
          <w:noProof/>
          <w:lang w:eastAsia="fi-FI"/>
        </w:rPr>
        <w:lastRenderedPageBreak/>
        <w:drawing>
          <wp:inline distT="0" distB="0" distL="0" distR="0" wp14:anchorId="100F9D7A" wp14:editId="461ED11C">
            <wp:extent cx="6120130" cy="667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io_obs_vs_pred_50_poik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53640DE" w14:textId="1BBCE48B" w:rsidR="00066898" w:rsidRDefault="00066898" w:rsidP="005E3A2C">
      <w:pPr>
        <w:spacing w:line="360" w:lineRule="auto"/>
        <w:rPr>
          <w:lang w:val="en-US"/>
        </w:rPr>
      </w:pPr>
      <w:r>
        <w:rPr>
          <w:lang w:val="en-US"/>
        </w:rPr>
        <w:t>Supplementary Figure 5. The o</w:t>
      </w:r>
      <w:r w:rsidR="00C52A08">
        <w:rPr>
          <w:lang w:val="en-US"/>
        </w:rPr>
        <w:t>bserved pubertal onsets</w:t>
      </w:r>
      <w:r>
        <w:rPr>
          <w:lang w:val="en-US"/>
        </w:rPr>
        <w:t xml:space="preserve"> and the predicted pubertal onsets with 50%, 75% and 95% prediction intervals for 50 randomly chosen boys.</w:t>
      </w:r>
    </w:p>
    <w:p w14:paraId="6886D588" w14:textId="5E6AE093" w:rsidR="00066898" w:rsidRDefault="00066898" w:rsidP="00FA7D10">
      <w:pPr>
        <w:rPr>
          <w:lang w:val="en-US"/>
        </w:rPr>
      </w:pPr>
    </w:p>
    <w:p w14:paraId="41F06F71" w14:textId="03A7DF9D" w:rsidR="00A85BCA" w:rsidRDefault="00732260" w:rsidP="00FA7D10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A3A430E" wp14:editId="6466F629">
            <wp:extent cx="6120130" cy="326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io_aphv_vs_pubertal_onset_by_bmi_gir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8174" w14:textId="3C4DDC1E" w:rsidR="00722EED" w:rsidRDefault="00E961AC" w:rsidP="005E3A2C">
      <w:pPr>
        <w:spacing w:line="360" w:lineRule="auto"/>
        <w:rPr>
          <w:lang w:val="en-US"/>
        </w:rPr>
      </w:pPr>
      <w:r>
        <w:rPr>
          <w:lang w:val="en-US"/>
        </w:rPr>
        <w:t xml:space="preserve">Supplementary Figure </w:t>
      </w:r>
      <w:r w:rsidR="00732260">
        <w:rPr>
          <w:lang w:val="en-US"/>
        </w:rPr>
        <w:t>6</w:t>
      </w:r>
      <w:r w:rsidR="00722590" w:rsidRPr="00FA7D10">
        <w:rPr>
          <w:lang w:val="en-US"/>
        </w:rPr>
        <w:t xml:space="preserve">. </w:t>
      </w:r>
      <w:r w:rsidR="00722590">
        <w:rPr>
          <w:lang w:val="en-US"/>
        </w:rPr>
        <w:t xml:space="preserve">Individual APHVs </w:t>
      </w:r>
      <w:r w:rsidR="00722590" w:rsidRPr="00722EED">
        <w:rPr>
          <w:lang w:val="en-US"/>
        </w:rPr>
        <w:t>plotted against the observed pubertal onsets</w:t>
      </w:r>
      <w:r w:rsidR="00054D2E">
        <w:rPr>
          <w:lang w:val="en-US"/>
        </w:rPr>
        <w:t xml:space="preserve"> separately for </w:t>
      </w:r>
      <w:r w:rsidR="00722590">
        <w:rPr>
          <w:lang w:val="en-US"/>
        </w:rPr>
        <w:t>normal</w:t>
      </w:r>
      <w:r w:rsidR="00054D2E">
        <w:rPr>
          <w:lang w:val="en-US"/>
        </w:rPr>
        <w:t xml:space="preserve"> weight and overweight</w:t>
      </w:r>
      <w:r w:rsidR="00722590">
        <w:rPr>
          <w:lang w:val="en-US"/>
        </w:rPr>
        <w:t xml:space="preserve"> girls</w:t>
      </w:r>
      <w:r w:rsidR="00722590" w:rsidRPr="00722EED">
        <w:rPr>
          <w:lang w:val="en-US"/>
        </w:rPr>
        <w:t>. Lines are regression lines between the height markers and the midpoint of the</w:t>
      </w:r>
      <w:r w:rsidR="00722590">
        <w:rPr>
          <w:lang w:val="en-US"/>
        </w:rPr>
        <w:t xml:space="preserve"> observed pubertal </w:t>
      </w:r>
      <w:r w:rsidR="005E3A2C">
        <w:rPr>
          <w:lang w:val="en-US"/>
        </w:rPr>
        <w:t xml:space="preserve">onset </w:t>
      </w:r>
      <w:r w:rsidR="00722590">
        <w:rPr>
          <w:lang w:val="en-US"/>
        </w:rPr>
        <w:t>interval.</w:t>
      </w:r>
    </w:p>
    <w:p w14:paraId="3EC134B7" w14:textId="15101D6F" w:rsidR="00E62913" w:rsidRDefault="00E62913" w:rsidP="00E961AC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2645F3B5" wp14:editId="2D6E6703">
            <wp:extent cx="6120130" cy="612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plementary_kuvio_eliminoidut_tyt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FB5" w14:textId="207E30C0" w:rsidR="00E961AC" w:rsidRDefault="00E961AC" w:rsidP="00E961AC">
      <w:pPr>
        <w:rPr>
          <w:lang w:val="en-US"/>
        </w:rPr>
      </w:pPr>
      <w:r>
        <w:rPr>
          <w:lang w:val="en-US"/>
        </w:rPr>
        <w:t xml:space="preserve">Supplementary Figure </w:t>
      </w:r>
      <w:r w:rsidR="00732260">
        <w:rPr>
          <w:lang w:val="en-US"/>
        </w:rPr>
        <w:t>7</w:t>
      </w:r>
      <w:r w:rsidRPr="00FA7D10">
        <w:rPr>
          <w:lang w:val="en-US"/>
        </w:rPr>
        <w:t xml:space="preserve">. </w:t>
      </w:r>
      <w:r w:rsidR="00D578B1" w:rsidRPr="00FA7D10">
        <w:rPr>
          <w:lang w:val="en-US"/>
        </w:rPr>
        <w:t>SITAR</w:t>
      </w:r>
      <w:r w:rsidR="00D578B1">
        <w:rPr>
          <w:lang w:val="en-US"/>
        </w:rPr>
        <w:t xml:space="preserve"> curves for nine girls fulfilling the “combined” exclusion criterion.</w:t>
      </w:r>
    </w:p>
    <w:p w14:paraId="46056B2D" w14:textId="77777777" w:rsidR="00E961AC" w:rsidRDefault="00E961AC" w:rsidP="00E961AC">
      <w:pPr>
        <w:jc w:val="center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384D5267" wp14:editId="095F17E8">
            <wp:extent cx="4199860" cy="839971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pplementary_kuvio_eliminoidut_poja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62" cy="84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6E92" w14:textId="1727D1E7" w:rsidR="00FA7D10" w:rsidRPr="00FA7D10" w:rsidRDefault="00E961AC">
      <w:pPr>
        <w:rPr>
          <w:lang w:val="en-US"/>
        </w:rPr>
      </w:pPr>
      <w:r>
        <w:rPr>
          <w:lang w:val="en-US"/>
        </w:rPr>
        <w:t xml:space="preserve">Supplementary Figure </w:t>
      </w:r>
      <w:r w:rsidR="00732260">
        <w:rPr>
          <w:lang w:val="en-US"/>
        </w:rPr>
        <w:t>8</w:t>
      </w:r>
      <w:r w:rsidRPr="00FA7D10">
        <w:rPr>
          <w:lang w:val="en-US"/>
        </w:rPr>
        <w:t>. SITAR</w:t>
      </w:r>
      <w:r w:rsidR="00D578B1">
        <w:rPr>
          <w:lang w:val="en-US"/>
        </w:rPr>
        <w:t xml:space="preserve"> curves for eight</w:t>
      </w:r>
      <w:r>
        <w:rPr>
          <w:lang w:val="en-US"/>
        </w:rPr>
        <w:t xml:space="preserve"> boys </w:t>
      </w:r>
      <w:r w:rsidR="00D578B1">
        <w:rPr>
          <w:lang w:val="en-US"/>
        </w:rPr>
        <w:t>fulfilling the “combined” exclusion criterion.</w:t>
      </w:r>
    </w:p>
    <w:sectPr w:rsidR="00FA7D10" w:rsidRPr="00FA7D1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ssi Syrjälä" w:date="2019-11-18T16:11:00Z" w:initials="ES">
    <w:p w14:paraId="356FDA4A" w14:textId="1A3112C4" w:rsidR="005C2CCE" w:rsidRPr="005C2CCE" w:rsidRDefault="005C2CC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C2CCE">
        <w:rPr>
          <w:lang w:val="en-US"/>
        </w:rPr>
        <w:t xml:space="preserve">Mikael: </w:t>
      </w:r>
      <w:r w:rsidRPr="00CB460E">
        <w:rPr>
          <w:lang w:val="en-US"/>
        </w:rPr>
        <w:t xml:space="preserve">Why </w:t>
      </w:r>
      <w:r>
        <w:rPr>
          <w:lang w:val="en-US"/>
        </w:rPr>
        <w:t>do</w:t>
      </w:r>
      <w:r w:rsidRPr="00CB460E">
        <w:rPr>
          <w:lang w:val="en-US"/>
        </w:rPr>
        <w:t xml:space="preserve"> Figure 2 and 3 </w:t>
      </w:r>
      <w:r>
        <w:rPr>
          <w:lang w:val="en-US"/>
        </w:rPr>
        <w:t xml:space="preserve">look </w:t>
      </w:r>
      <w:r w:rsidRPr="00CB460E">
        <w:rPr>
          <w:lang w:val="en-US"/>
        </w:rPr>
        <w:t>so different, although t</w:t>
      </w:r>
      <w:r>
        <w:rPr>
          <w:lang w:val="en-US"/>
        </w:rPr>
        <w:t>he</w:t>
      </w:r>
      <w:r w:rsidRPr="00CB460E">
        <w:rPr>
          <w:lang w:val="en-US"/>
        </w:rPr>
        <w:t>y should show t</w:t>
      </w:r>
      <w:r>
        <w:rPr>
          <w:lang w:val="en-US"/>
        </w:rPr>
        <w:t>he same parameters in girls and boys.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6FDA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ssi Syrjälä">
    <w15:presenceInfo w15:providerId="AD" w15:userId="S-1-5-21-4029990498-3972671921-3273085109-5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EA"/>
    <w:rsid w:val="0000645C"/>
    <w:rsid w:val="00054D2E"/>
    <w:rsid w:val="00066898"/>
    <w:rsid w:val="000B13CC"/>
    <w:rsid w:val="000C540B"/>
    <w:rsid w:val="001B4448"/>
    <w:rsid w:val="00221096"/>
    <w:rsid w:val="00327EA6"/>
    <w:rsid w:val="00350F43"/>
    <w:rsid w:val="003A1DC4"/>
    <w:rsid w:val="00424274"/>
    <w:rsid w:val="004A74CC"/>
    <w:rsid w:val="005817B7"/>
    <w:rsid w:val="00594BA4"/>
    <w:rsid w:val="005C2CCE"/>
    <w:rsid w:val="005E3A2C"/>
    <w:rsid w:val="00722590"/>
    <w:rsid w:val="00722EED"/>
    <w:rsid w:val="00732260"/>
    <w:rsid w:val="007558DE"/>
    <w:rsid w:val="007A1F58"/>
    <w:rsid w:val="008272FC"/>
    <w:rsid w:val="009571BE"/>
    <w:rsid w:val="00962EB8"/>
    <w:rsid w:val="00964AF3"/>
    <w:rsid w:val="00967AF1"/>
    <w:rsid w:val="009847DE"/>
    <w:rsid w:val="00A85BCA"/>
    <w:rsid w:val="00AF52B0"/>
    <w:rsid w:val="00B12E59"/>
    <w:rsid w:val="00B346AC"/>
    <w:rsid w:val="00B62F58"/>
    <w:rsid w:val="00BB3055"/>
    <w:rsid w:val="00C52A08"/>
    <w:rsid w:val="00C64CA8"/>
    <w:rsid w:val="00C726A1"/>
    <w:rsid w:val="00CE3508"/>
    <w:rsid w:val="00CF0239"/>
    <w:rsid w:val="00D578B1"/>
    <w:rsid w:val="00D57B51"/>
    <w:rsid w:val="00D975EE"/>
    <w:rsid w:val="00DB08EA"/>
    <w:rsid w:val="00E343AD"/>
    <w:rsid w:val="00E62913"/>
    <w:rsid w:val="00E961AC"/>
    <w:rsid w:val="00EF4A39"/>
    <w:rsid w:val="00F309A7"/>
    <w:rsid w:val="00F74C2D"/>
    <w:rsid w:val="00F94062"/>
    <w:rsid w:val="00FA7D10"/>
    <w:rsid w:val="00FD325F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C20D"/>
  <w15:chartTrackingRefBased/>
  <w15:docId w15:val="{3F421F43-F9EE-41E0-B48D-1E0A4863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2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6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6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4CF719-87DB-4C4B-A909-20DC1FAA69F3}">
  <we:reference id="wa104380122" version="1.0.0.1" store="en-US" storeType="OMEX"/>
  <we:alternateReferences>
    <we:reference id="WA104380122" version="1.0.0.1" store="WA10438012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 - University of Tampere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 Syrjälä</dc:creator>
  <cp:keywords/>
  <dc:description/>
  <cp:lastModifiedBy>Essi Syrjälä</cp:lastModifiedBy>
  <cp:revision>5</cp:revision>
  <cp:lastPrinted>2019-09-10T09:37:00Z</cp:lastPrinted>
  <dcterms:created xsi:type="dcterms:W3CDTF">2019-11-18T14:09:00Z</dcterms:created>
  <dcterms:modified xsi:type="dcterms:W3CDTF">2019-11-18T14:21:00Z</dcterms:modified>
</cp:coreProperties>
</file>