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Architectural Design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components and their interaction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Database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data layer is responsible for the data storage and retrieval.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does not implement any application logic. This layer must guarantee ACID properties.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server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layer contains all the application logic of the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the policies, the algorithms and the computation are performed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here. This layer offers a service-oriented interface.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Android Mobile application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layer consists in the mobile client. It’s both presentation layer and logic/client layer,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communicates directly with the application server  and  it  represents the user’s  interface.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These high-level components are structured into three layers, shown in figure 2.1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choice give us the possibility to compute all the business logic in the Application Server layer, to make more light and efficient to provide a comfortable user experience.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Furthermore this design allows to extend the system, inserting a Web Server layer to consult Travlendar in every device that has a generic browser.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8088" cy="358841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588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2.1: Layers of the system.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Figure 2.2: High level components of the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View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