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BEAB97" w14:textId="58A36187" w:rsidR="00160628" w:rsidRPr="00160628" w:rsidRDefault="00160628" w:rsidP="00160628">
      <w:pPr>
        <w:rPr>
          <w:color w:val="FF0000"/>
          <w:lang w:val="es-MX"/>
        </w:rPr>
      </w:pPr>
      <w:r w:rsidRPr="00160628">
        <w:rPr>
          <w:color w:val="FF0000"/>
          <w:lang w:val="es-MX"/>
        </w:rPr>
        <w:t>RTA</w:t>
      </w:r>
      <w:r w:rsidRPr="00160628">
        <w:rPr>
          <w:color w:val="FF0000"/>
          <w:lang w:val="es-MX"/>
        </w:rPr>
        <w:t> </w:t>
      </w:r>
    </w:p>
    <w:p w14:paraId="63C980BE" w14:textId="77777777" w:rsidR="00160628" w:rsidRPr="00160628" w:rsidRDefault="00160628" w:rsidP="00160628">
      <w:pPr>
        <w:rPr>
          <w:lang w:val="es-MX"/>
        </w:rPr>
      </w:pPr>
      <w:r w:rsidRPr="00160628">
        <w:rPr>
          <w:b/>
          <w:bCs/>
          <w:lang w:val="es-MX"/>
        </w:rPr>
        <w:t>2.</w:t>
      </w:r>
      <w:r w:rsidRPr="00160628">
        <w:rPr>
          <w:lang w:val="es-MX"/>
        </w:rPr>
        <w:t>         </w:t>
      </w:r>
      <w:r w:rsidRPr="00160628">
        <w:rPr>
          <w:b/>
          <w:bCs/>
          <w:lang w:val="es-MX"/>
        </w:rPr>
        <w:t>Demanda Académica</w:t>
      </w:r>
    </w:p>
    <w:p w14:paraId="39CCE60B" w14:textId="3B6CC614" w:rsidR="00160628" w:rsidRPr="00160628" w:rsidRDefault="00160628" w:rsidP="00160628">
      <w:pPr>
        <w:rPr>
          <w:lang w:val="es-MX"/>
        </w:rPr>
      </w:pPr>
      <w:r w:rsidRPr="00160628">
        <w:rPr>
          <w:b/>
          <w:bCs/>
          <w:lang w:val="es-MX"/>
        </w:rPr>
        <w:t> </w:t>
      </w:r>
      <w:r w:rsidRPr="00160628">
        <w:rPr>
          <w:lang w:val="es-MX"/>
        </w:rPr>
        <w:t>a)      Estadísticas estudiantiles para los últimos 5 años: Matriculados, Aspirantes, Admitidos y Matriculados Primera Vez. Si es posible, entregar la información en un archivo de Excel donde se pueda detallar por sede, nivel de estudios (pregrado, posgrado) y programa académico.</w:t>
      </w:r>
    </w:p>
    <w:p w14:paraId="7BB0E85E" w14:textId="47151326" w:rsidR="00160628" w:rsidRDefault="00160628" w:rsidP="00160628">
      <w:pPr>
        <w:rPr>
          <w:color w:val="FF0000"/>
          <w:lang w:val="es-MX"/>
        </w:rPr>
      </w:pPr>
      <w:r w:rsidRPr="00160628">
        <w:rPr>
          <w:lang w:val="es-MX"/>
        </w:rPr>
        <w:t> </w:t>
      </w:r>
      <w:r w:rsidRPr="00160628">
        <w:rPr>
          <w:color w:val="FF0000"/>
          <w:lang w:val="es-MX"/>
        </w:rPr>
        <w:t>RTA </w:t>
      </w:r>
    </w:p>
    <w:p w14:paraId="3D33B452" w14:textId="06649BA5" w:rsidR="00233D6A" w:rsidRDefault="00233D6A" w:rsidP="00233D6A">
      <w:pPr>
        <w:jc w:val="both"/>
        <w:rPr>
          <w:lang w:val="es-MX"/>
        </w:rPr>
      </w:pPr>
      <w:r w:rsidRPr="00233D6A">
        <w:rPr>
          <w:lang w:val="es-MX"/>
        </w:rPr>
        <w:t>La información estadística fue extraída de las fuentes empleadas para la gestión y publicación de las estadísticas oficiales de la Universidad Nacional de Colombia</w:t>
      </w:r>
      <w:r w:rsidR="00FD3F94">
        <w:rPr>
          <w:lang w:val="es-MX"/>
        </w:rPr>
        <w:t xml:space="preserve"> publicadas </w:t>
      </w:r>
      <w:r w:rsidRPr="00233D6A">
        <w:rPr>
          <w:lang w:val="es-MX"/>
        </w:rPr>
        <w:t>en la página d</w:t>
      </w:r>
      <w:r w:rsidR="00FD3F94">
        <w:rPr>
          <w:lang w:val="es-MX"/>
        </w:rPr>
        <w:t>e</w:t>
      </w:r>
      <w:r w:rsidRPr="00233D6A">
        <w:rPr>
          <w:lang w:val="es-MX"/>
        </w:rPr>
        <w:t xml:space="preserve"> estadísticas institucionales (</w:t>
      </w:r>
      <w:r w:rsidRPr="00233D6A">
        <w:rPr>
          <w:lang w:val="es-MX"/>
        </w:rPr>
        <w:t>https://estadisticas.unal.edu.co/home/</w:t>
      </w:r>
      <w:r w:rsidRPr="00233D6A">
        <w:rPr>
          <w:lang w:val="es-MX"/>
        </w:rPr>
        <w:t xml:space="preserve">). </w:t>
      </w:r>
      <w:r>
        <w:rPr>
          <w:lang w:val="es-MX"/>
        </w:rPr>
        <w:t>Adjunto, se envían los siguientes archivos con la información</w:t>
      </w:r>
      <w:r w:rsidR="00FD3F94">
        <w:rPr>
          <w:lang w:val="es-MX"/>
        </w:rPr>
        <w:t xml:space="preserve"> </w:t>
      </w:r>
      <w:r>
        <w:rPr>
          <w:lang w:val="es-MX"/>
        </w:rPr>
        <w:t xml:space="preserve">requerida para las poblaciones </w:t>
      </w:r>
      <w:r w:rsidR="00F709BA">
        <w:rPr>
          <w:lang w:val="es-MX"/>
        </w:rPr>
        <w:t>de interés en los últimos 5 años.</w:t>
      </w:r>
    </w:p>
    <w:p w14:paraId="78765B73" w14:textId="4BEF0322" w:rsidR="00F709BA" w:rsidRDefault="00F709BA" w:rsidP="00F709BA">
      <w:pPr>
        <w:pStyle w:val="Prrafodelista"/>
        <w:numPr>
          <w:ilvl w:val="0"/>
          <w:numId w:val="6"/>
        </w:numPr>
        <w:jc w:val="both"/>
        <w:rPr>
          <w:lang w:val="es-MX"/>
        </w:rPr>
      </w:pPr>
      <w:r>
        <w:rPr>
          <w:lang w:val="es-MX"/>
        </w:rPr>
        <w:t xml:space="preserve">Aspirantes: </w:t>
      </w:r>
      <w:r w:rsidRPr="00F709BA">
        <w:rPr>
          <w:lang w:val="es-MX"/>
        </w:rPr>
        <w:t>Estadísticas Aspirantes UNAL.xlsx</w:t>
      </w:r>
    </w:p>
    <w:p w14:paraId="29CAC3AE" w14:textId="327C25D2" w:rsidR="00F709BA" w:rsidRDefault="00F709BA" w:rsidP="00F709BA">
      <w:pPr>
        <w:pStyle w:val="Prrafodelista"/>
        <w:numPr>
          <w:ilvl w:val="0"/>
          <w:numId w:val="6"/>
        </w:numPr>
        <w:jc w:val="both"/>
        <w:rPr>
          <w:lang w:val="es-MX"/>
        </w:rPr>
      </w:pPr>
      <w:r>
        <w:rPr>
          <w:lang w:val="es-MX"/>
        </w:rPr>
        <w:t xml:space="preserve">Admitidos: </w:t>
      </w:r>
      <w:r w:rsidRPr="00F709BA">
        <w:rPr>
          <w:lang w:val="es-MX"/>
        </w:rPr>
        <w:t>Estadísticas Admitidos UNAL.xlsx</w:t>
      </w:r>
    </w:p>
    <w:p w14:paraId="3F35CF32" w14:textId="43AE8F44" w:rsidR="00F709BA" w:rsidRDefault="00F709BA" w:rsidP="00F709BA">
      <w:pPr>
        <w:pStyle w:val="Prrafodelista"/>
        <w:numPr>
          <w:ilvl w:val="0"/>
          <w:numId w:val="6"/>
        </w:numPr>
        <w:jc w:val="both"/>
        <w:rPr>
          <w:lang w:val="es-MX"/>
        </w:rPr>
      </w:pPr>
      <w:r>
        <w:rPr>
          <w:lang w:val="es-MX"/>
        </w:rPr>
        <w:t xml:space="preserve">Matriculados: </w:t>
      </w:r>
      <w:r w:rsidRPr="00F709BA">
        <w:rPr>
          <w:lang w:val="es-MX"/>
        </w:rPr>
        <w:t>Estadísticas Matricula UNAL.xlsx</w:t>
      </w:r>
    </w:p>
    <w:p w14:paraId="3A986F9A" w14:textId="211DB306" w:rsidR="00F709BA" w:rsidRDefault="00F709BA" w:rsidP="00F709BA">
      <w:pPr>
        <w:pStyle w:val="Prrafodelista"/>
        <w:numPr>
          <w:ilvl w:val="0"/>
          <w:numId w:val="6"/>
        </w:numPr>
        <w:jc w:val="both"/>
        <w:rPr>
          <w:lang w:val="es-MX"/>
        </w:rPr>
      </w:pPr>
      <w:r>
        <w:rPr>
          <w:lang w:val="es-MX"/>
        </w:rPr>
        <w:t xml:space="preserve">Matriculados por primera vez: </w:t>
      </w:r>
      <w:r w:rsidRPr="00F709BA">
        <w:rPr>
          <w:lang w:val="es-MX"/>
        </w:rPr>
        <w:t>Estadísticas Matrícula Primera Vez UNAL.xlsx</w:t>
      </w:r>
    </w:p>
    <w:p w14:paraId="53ABAA4B" w14:textId="77777777" w:rsidR="00160628" w:rsidRPr="00160628" w:rsidRDefault="00160628" w:rsidP="00160628">
      <w:pPr>
        <w:rPr>
          <w:lang w:val="es-MX"/>
        </w:rPr>
      </w:pPr>
    </w:p>
    <w:p w14:paraId="54C94124" w14:textId="77777777" w:rsidR="00160628" w:rsidRPr="00160628" w:rsidRDefault="00160628" w:rsidP="00160628">
      <w:pPr>
        <w:rPr>
          <w:lang w:val="es-MX"/>
        </w:rPr>
      </w:pPr>
      <w:r w:rsidRPr="00160628">
        <w:rPr>
          <w:b/>
          <w:bCs/>
          <w:lang w:val="es-MX"/>
        </w:rPr>
        <w:t>7.</w:t>
      </w:r>
      <w:r w:rsidRPr="00160628">
        <w:rPr>
          <w:lang w:val="es-MX"/>
        </w:rPr>
        <w:t>         </w:t>
      </w:r>
      <w:r w:rsidRPr="00160628">
        <w:rPr>
          <w:b/>
          <w:bCs/>
          <w:lang w:val="es-MX"/>
        </w:rPr>
        <w:t>Planeación de Capital</w:t>
      </w:r>
    </w:p>
    <w:p w14:paraId="4EDFB732" w14:textId="188F3CD4" w:rsidR="00160628" w:rsidRDefault="00160628" w:rsidP="007624D9">
      <w:pPr>
        <w:rPr>
          <w:lang w:val="es-ES"/>
        </w:rPr>
      </w:pPr>
      <w:r w:rsidRPr="00160628">
        <w:rPr>
          <w:b/>
          <w:bCs/>
          <w:lang w:val="es-MX"/>
        </w:rPr>
        <w:t> </w:t>
      </w:r>
      <w:r w:rsidR="007624D9">
        <w:rPr>
          <w:b/>
          <w:bCs/>
          <w:lang w:val="es-MX"/>
        </w:rPr>
        <w:t xml:space="preserve">a)  </w:t>
      </w:r>
      <w:r w:rsidRPr="007624D9">
        <w:rPr>
          <w:lang w:val="es-ES"/>
        </w:rPr>
        <w:t>Favor compartir los documentos que contengan los principales planes de inversión en activos fijos a mediano o largo plazo, si están disponibles. Detallar monto de las inversiones por año y fuentes de financiación, si es posible.</w:t>
      </w:r>
    </w:p>
    <w:p w14:paraId="3C1F8C47" w14:textId="77777777" w:rsidR="00233D6A" w:rsidRPr="00160628" w:rsidRDefault="00233D6A" w:rsidP="00233D6A">
      <w:pPr>
        <w:rPr>
          <w:color w:val="FF0000"/>
          <w:lang w:val="es-MX"/>
        </w:rPr>
      </w:pPr>
      <w:r w:rsidRPr="00160628">
        <w:rPr>
          <w:color w:val="FF0000"/>
          <w:lang w:val="es-MX"/>
        </w:rPr>
        <w:t>RTA </w:t>
      </w:r>
    </w:p>
    <w:p w14:paraId="5F946A8C" w14:textId="148DF4C9" w:rsidR="007624D9" w:rsidRPr="007624D9" w:rsidRDefault="007624D9" w:rsidP="007624D9">
      <w:pPr>
        <w:rPr>
          <w:lang w:val="es-ES"/>
        </w:rPr>
      </w:pPr>
      <w:r w:rsidRPr="0024232D">
        <w:rPr>
          <w:noProof/>
        </w:rPr>
        <w:drawing>
          <wp:inline distT="0" distB="0" distL="0" distR="0" wp14:anchorId="24F4717A" wp14:editId="50B22079">
            <wp:extent cx="4892040" cy="2276475"/>
            <wp:effectExtent l="0" t="0" r="381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2040" cy="2276475"/>
                    </a:xfrm>
                    <a:prstGeom prst="rect">
                      <a:avLst/>
                    </a:prstGeom>
                    <a:noFill/>
                    <a:ln>
                      <a:noFill/>
                    </a:ln>
                  </pic:spPr>
                </pic:pic>
              </a:graphicData>
            </a:graphic>
          </wp:inline>
        </w:drawing>
      </w:r>
    </w:p>
    <w:p w14:paraId="11176097" w14:textId="4DFDE7D0" w:rsidR="007624D9" w:rsidRDefault="00233D6A" w:rsidP="007624D9">
      <w:pPr>
        <w:rPr>
          <w:lang w:val="es-MX"/>
        </w:rPr>
      </w:pPr>
      <w:r w:rsidRPr="0024232D">
        <w:rPr>
          <w:noProof/>
        </w:rPr>
        <w:lastRenderedPageBreak/>
        <w:drawing>
          <wp:inline distT="0" distB="0" distL="0" distR="0" wp14:anchorId="20B2FA72" wp14:editId="0263E04C">
            <wp:extent cx="5905500" cy="317149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5119" cy="3182034"/>
                    </a:xfrm>
                    <a:prstGeom prst="rect">
                      <a:avLst/>
                    </a:prstGeom>
                    <a:noFill/>
                    <a:ln>
                      <a:noFill/>
                    </a:ln>
                  </pic:spPr>
                </pic:pic>
              </a:graphicData>
            </a:graphic>
          </wp:inline>
        </w:drawing>
      </w:r>
    </w:p>
    <w:p w14:paraId="4BF069D2" w14:textId="77777777" w:rsidR="00233D6A" w:rsidRDefault="00233D6A" w:rsidP="00233D6A">
      <w:pPr>
        <w:pStyle w:val="m-5237301723058515364m187763532600237910m4706049829525347208gmail-textocarta"/>
        <w:shd w:val="clear" w:color="auto" w:fill="FFFFFF"/>
        <w:spacing w:line="220" w:lineRule="atLeast"/>
        <w:jc w:val="both"/>
        <w:rPr>
          <w:rFonts w:ascii="Ancizar Sans" w:hAnsi="Ancizar Sans"/>
          <w:bCs/>
          <w:sz w:val="22"/>
          <w:szCs w:val="22"/>
        </w:rPr>
      </w:pPr>
      <w:r>
        <w:rPr>
          <w:rFonts w:ascii="Ancizar Sans" w:hAnsi="Ancizar Sans"/>
          <w:bCs/>
          <w:sz w:val="22"/>
          <w:szCs w:val="22"/>
        </w:rPr>
        <w:t>En cuanto a la inversión en activos fijos para el periodo 2019 – 2024 Plan Global de Desarrollo “Proyectos cultural, científico y colectivo de nación”, se estima las siguientes inversiones:</w:t>
      </w:r>
    </w:p>
    <w:p w14:paraId="471DB182" w14:textId="0E41BC3A" w:rsidR="00233D6A" w:rsidRPr="007624D9" w:rsidRDefault="00233D6A" w:rsidP="007624D9">
      <w:pPr>
        <w:rPr>
          <w:lang w:val="es-MX"/>
        </w:rPr>
      </w:pPr>
      <w:r w:rsidRPr="00493BF4">
        <w:rPr>
          <w:noProof/>
        </w:rPr>
        <w:drawing>
          <wp:inline distT="0" distB="0" distL="0" distR="0" wp14:anchorId="0ADEB99E" wp14:editId="1D838CE3">
            <wp:extent cx="4892040" cy="2656840"/>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2040" cy="2656840"/>
                    </a:xfrm>
                    <a:prstGeom prst="rect">
                      <a:avLst/>
                    </a:prstGeom>
                    <a:noFill/>
                    <a:ln>
                      <a:noFill/>
                    </a:ln>
                  </pic:spPr>
                </pic:pic>
              </a:graphicData>
            </a:graphic>
          </wp:inline>
        </w:drawing>
      </w:r>
    </w:p>
    <w:p w14:paraId="7783C79C" w14:textId="0DA54686" w:rsidR="00160628" w:rsidRDefault="00160628" w:rsidP="00160628">
      <w:pPr>
        <w:rPr>
          <w:lang w:val="es-MX"/>
        </w:rPr>
      </w:pPr>
      <w:r w:rsidRPr="00160628">
        <w:rPr>
          <w:lang w:val="es-MX"/>
        </w:rPr>
        <w:t>b)  Favor detallar el monto de las inversiones en activos fijos y otros activos no corrientes (</w:t>
      </w:r>
      <w:r w:rsidRPr="00160628">
        <w:rPr>
          <w:i/>
          <w:iCs/>
          <w:lang w:val="es-MX"/>
        </w:rPr>
        <w:t>capex</w:t>
      </w:r>
      <w:r w:rsidRPr="00160628">
        <w:rPr>
          <w:lang w:val="es-MX"/>
        </w:rPr>
        <w:t>) realizadas durante la vigencia 2023.</w:t>
      </w:r>
    </w:p>
    <w:p w14:paraId="215561CD" w14:textId="77777777" w:rsidR="00233D6A" w:rsidRPr="00160628" w:rsidRDefault="00233D6A" w:rsidP="00233D6A">
      <w:pPr>
        <w:rPr>
          <w:color w:val="FF0000"/>
          <w:lang w:val="es-MX"/>
        </w:rPr>
      </w:pPr>
      <w:r w:rsidRPr="00160628">
        <w:rPr>
          <w:color w:val="FF0000"/>
          <w:lang w:val="es-MX"/>
        </w:rPr>
        <w:t>RTA </w:t>
      </w:r>
    </w:p>
    <w:p w14:paraId="2CE3040B" w14:textId="30A4E9C5" w:rsidR="00233D6A" w:rsidRDefault="00233D6A" w:rsidP="00160628">
      <w:pPr>
        <w:rPr>
          <w:lang w:val="es-MX"/>
        </w:rPr>
      </w:pPr>
      <w:r>
        <w:rPr>
          <w:lang w:val="es-MX"/>
        </w:rPr>
        <w:t>En el archivo de Excel adjunto al presente oficio y titulado “</w:t>
      </w:r>
      <w:r w:rsidRPr="00233D6A">
        <w:rPr>
          <w:lang w:val="es-MX"/>
        </w:rPr>
        <w:t>Información Recursos Inversión Fitch.xlsx</w:t>
      </w:r>
      <w:r>
        <w:rPr>
          <w:lang w:val="es-MX"/>
        </w:rPr>
        <w:t>”, se envía la información requerida.</w:t>
      </w:r>
    </w:p>
    <w:p w14:paraId="2585D6B8" w14:textId="77777777" w:rsidR="00160628" w:rsidRDefault="00160628" w:rsidP="00160628">
      <w:pPr>
        <w:rPr>
          <w:lang w:val="es-MX"/>
        </w:rPr>
      </w:pPr>
    </w:p>
    <w:p w14:paraId="3894A269" w14:textId="77777777" w:rsidR="00233D6A" w:rsidRPr="00160628" w:rsidRDefault="00233D6A" w:rsidP="00160628">
      <w:pPr>
        <w:rPr>
          <w:lang w:val="es-MX"/>
        </w:rPr>
      </w:pPr>
    </w:p>
    <w:p w14:paraId="158DB2B2" w14:textId="77777777" w:rsidR="00160628" w:rsidRPr="00160628" w:rsidRDefault="00160628" w:rsidP="00160628">
      <w:pPr>
        <w:rPr>
          <w:lang w:val="es-MX"/>
        </w:rPr>
      </w:pPr>
      <w:r w:rsidRPr="00160628">
        <w:rPr>
          <w:b/>
          <w:bCs/>
          <w:lang w:val="es-MX"/>
        </w:rPr>
        <w:t>8.</w:t>
      </w:r>
      <w:r w:rsidRPr="00160628">
        <w:rPr>
          <w:lang w:val="es-MX"/>
        </w:rPr>
        <w:t>         </w:t>
      </w:r>
      <w:r w:rsidRPr="00160628">
        <w:rPr>
          <w:b/>
          <w:bCs/>
          <w:lang w:val="es-MX"/>
        </w:rPr>
        <w:t>Deuda y otros pasivos de largo plazo</w:t>
      </w:r>
    </w:p>
    <w:p w14:paraId="2922438B" w14:textId="62B2F807" w:rsidR="00160628" w:rsidRDefault="00160628" w:rsidP="00160628">
      <w:pPr>
        <w:rPr>
          <w:lang w:val="es-MX"/>
        </w:rPr>
      </w:pPr>
      <w:r w:rsidRPr="00160628">
        <w:rPr>
          <w:b/>
          <w:bCs/>
          <w:lang w:val="es-MX"/>
        </w:rPr>
        <w:t> </w:t>
      </w:r>
      <w:r w:rsidRPr="00160628">
        <w:rPr>
          <w:lang w:val="es-MX"/>
        </w:rPr>
        <w:t>a)      Necesidades futuras de endeudamiento (si aplica). ¿En qué monto se estiman dichas necesidades?</w:t>
      </w:r>
    </w:p>
    <w:p w14:paraId="4151D62E" w14:textId="77777777" w:rsidR="00160628" w:rsidRPr="00160628" w:rsidRDefault="00160628" w:rsidP="00160628">
      <w:pPr>
        <w:rPr>
          <w:color w:val="FF0000"/>
          <w:lang w:val="es-MX"/>
        </w:rPr>
      </w:pPr>
      <w:r w:rsidRPr="00160628">
        <w:rPr>
          <w:color w:val="FF0000"/>
          <w:lang w:val="es-MX"/>
        </w:rPr>
        <w:t>RTA </w:t>
      </w:r>
    </w:p>
    <w:p w14:paraId="51DFC219" w14:textId="77777777" w:rsidR="00233D6A" w:rsidRPr="0072684C" w:rsidRDefault="00233D6A" w:rsidP="00233D6A">
      <w:pPr>
        <w:pStyle w:val="m-5237301723058515364m187763532600237910m4706049829525347208gmail-textocarta"/>
        <w:shd w:val="clear" w:color="auto" w:fill="FFFFFF"/>
        <w:spacing w:before="0" w:beforeAutospacing="0" w:after="0" w:afterAutospacing="0" w:line="220" w:lineRule="atLeast"/>
        <w:jc w:val="both"/>
        <w:rPr>
          <w:rFonts w:ascii="Ancizar Sans" w:hAnsi="Ancizar Sans"/>
          <w:sz w:val="22"/>
          <w:szCs w:val="22"/>
        </w:rPr>
      </w:pPr>
      <w:r w:rsidRPr="0072684C">
        <w:rPr>
          <w:rFonts w:ascii="Ancizar Sans" w:hAnsi="Ancizar Sans"/>
          <w:sz w:val="22"/>
          <w:szCs w:val="22"/>
        </w:rPr>
        <w:t>A la luz de</w:t>
      </w:r>
      <w:r>
        <w:rPr>
          <w:rFonts w:ascii="Ancizar Sans" w:hAnsi="Ancizar Sans"/>
          <w:sz w:val="22"/>
          <w:szCs w:val="22"/>
        </w:rPr>
        <w:t xml:space="preserve"> </w:t>
      </w:r>
      <w:r w:rsidRPr="0072684C">
        <w:rPr>
          <w:rFonts w:ascii="Ancizar Sans" w:hAnsi="Ancizar Sans"/>
          <w:sz w:val="22"/>
          <w:szCs w:val="22"/>
        </w:rPr>
        <w:t>l</w:t>
      </w:r>
      <w:r>
        <w:rPr>
          <w:rFonts w:ascii="Ancizar Sans" w:hAnsi="Ancizar Sans"/>
          <w:sz w:val="22"/>
          <w:szCs w:val="22"/>
        </w:rPr>
        <w:t>as</w:t>
      </w:r>
      <w:r w:rsidRPr="0072684C">
        <w:rPr>
          <w:rFonts w:ascii="Ancizar Sans" w:hAnsi="Ancizar Sans"/>
          <w:sz w:val="22"/>
          <w:szCs w:val="22"/>
        </w:rPr>
        <w:t xml:space="preserve"> </w:t>
      </w:r>
      <w:r>
        <w:rPr>
          <w:rFonts w:ascii="Ancizar Sans" w:hAnsi="Ancizar Sans"/>
          <w:sz w:val="22"/>
          <w:szCs w:val="22"/>
        </w:rPr>
        <w:t xml:space="preserve">necesidades de infraestructura tecnológica </w:t>
      </w:r>
      <w:r w:rsidRPr="0072684C">
        <w:rPr>
          <w:rFonts w:ascii="Ancizar Sans" w:hAnsi="Ancizar Sans"/>
          <w:sz w:val="22"/>
          <w:szCs w:val="22"/>
        </w:rPr>
        <w:t>se tiene identificado que se requieren</w:t>
      </w:r>
      <w:r>
        <w:rPr>
          <w:rFonts w:ascii="Ancizar Sans" w:hAnsi="Ancizar Sans"/>
          <w:sz w:val="22"/>
          <w:szCs w:val="22"/>
        </w:rPr>
        <w:t xml:space="preserve"> $250.000 millones.</w:t>
      </w:r>
    </w:p>
    <w:p w14:paraId="28F32D45" w14:textId="77777777" w:rsidR="00160628" w:rsidRPr="00160628" w:rsidRDefault="00160628" w:rsidP="00160628">
      <w:pPr>
        <w:rPr>
          <w:lang w:val="es-MX"/>
        </w:rPr>
      </w:pPr>
    </w:p>
    <w:p w14:paraId="2285ED5C" w14:textId="77777777" w:rsidR="00160628" w:rsidRDefault="00160628" w:rsidP="00160628">
      <w:pPr>
        <w:rPr>
          <w:b/>
          <w:bCs/>
          <w:lang w:val="es-MX"/>
        </w:rPr>
      </w:pPr>
      <w:r w:rsidRPr="00160628">
        <w:rPr>
          <w:b/>
          <w:bCs/>
          <w:lang w:val="es-MX"/>
        </w:rPr>
        <w:t>9.</w:t>
      </w:r>
      <w:r w:rsidRPr="00160628">
        <w:rPr>
          <w:lang w:val="es-MX"/>
        </w:rPr>
        <w:t>         </w:t>
      </w:r>
      <w:r w:rsidRPr="00160628">
        <w:rPr>
          <w:b/>
          <w:bCs/>
          <w:lang w:val="es-MX"/>
        </w:rPr>
        <w:t>Principales iniciativas del nuevo Rector y su impacto esperado en la inversión y líneas estratégicas de la universidad.</w:t>
      </w:r>
    </w:p>
    <w:p w14:paraId="39FE597A" w14:textId="77777777" w:rsidR="00160628" w:rsidRDefault="00160628" w:rsidP="00160628">
      <w:pPr>
        <w:rPr>
          <w:color w:val="FF0000"/>
          <w:lang w:val="es-MX"/>
        </w:rPr>
      </w:pPr>
      <w:r w:rsidRPr="00160628">
        <w:rPr>
          <w:color w:val="FF0000"/>
          <w:lang w:val="es-MX"/>
        </w:rPr>
        <w:t>RTA </w:t>
      </w:r>
    </w:p>
    <w:p w14:paraId="2916599B" w14:textId="77777777" w:rsidR="00160628" w:rsidRPr="0029589D" w:rsidRDefault="00160628" w:rsidP="00160628">
      <w:pPr>
        <w:jc w:val="both"/>
        <w:rPr>
          <w:rFonts w:ascii="Ancizar Sans" w:hAnsi="Ancizar Sans"/>
          <w:color w:val="000000"/>
          <w:shd w:val="clear" w:color="auto" w:fill="FFFFFF"/>
        </w:rPr>
      </w:pPr>
      <w:r w:rsidRPr="0029589D">
        <w:rPr>
          <w:rFonts w:ascii="Ancizar Sans" w:hAnsi="Ancizar Sans"/>
          <w:color w:val="000000"/>
          <w:shd w:val="clear" w:color="auto" w:fill="FFFFFF"/>
        </w:rPr>
        <w:t xml:space="preserve">Actualmente, la Universidad Nacional de Colombia se encuentra en el proceso de formulación del Plan Global de Desarrollo para el periodo 2025-2027, este Plan se define como el </w:t>
      </w:r>
      <w:r w:rsidRPr="0029589D">
        <w:rPr>
          <w:rFonts w:ascii="Ancizar Sans" w:hAnsi="Ancizar Sans"/>
          <w:i/>
          <w:iCs/>
          <w:color w:val="000000"/>
          <w:shd w:val="clear" w:color="auto" w:fill="FFFFFF"/>
        </w:rPr>
        <w:t>“</w:t>
      </w:r>
      <w:r w:rsidRPr="0029589D">
        <w:rPr>
          <w:rFonts w:ascii="Ancizar Sans" w:hAnsi="Ancizar Sans"/>
          <w:i/>
          <w:iCs/>
        </w:rPr>
        <w:t>instrumento de concreción del Plan Estratégico Institucional en cada uno de los periodos de gestión rectoral, formulado colectivamente a partir de la propuesta de gobierno del Rector designado”</w:t>
      </w:r>
      <w:r w:rsidRPr="0029589D">
        <w:rPr>
          <w:rFonts w:ascii="Ancizar Sans" w:hAnsi="Ancizar Sans"/>
        </w:rPr>
        <w:t xml:space="preserve"> Acuerdo CSU 238/17.</w:t>
      </w:r>
    </w:p>
    <w:p w14:paraId="597851C5" w14:textId="77777777" w:rsidR="00160628" w:rsidRDefault="00160628" w:rsidP="00160628">
      <w:pPr>
        <w:jc w:val="both"/>
        <w:rPr>
          <w:rFonts w:ascii="Ancizar Sans" w:hAnsi="Ancizar Sans"/>
        </w:rPr>
      </w:pPr>
      <w:r>
        <w:rPr>
          <w:rFonts w:ascii="Ancizar Sans" w:hAnsi="Ancizar Sans"/>
        </w:rPr>
        <w:t xml:space="preserve">Como insumo principal de este proceso se toma la propuesta rectoral del candidato designado por el Consejo Superior Universitario para asumir la Rectoría. Además, se integrarán otros aportes derivados del espacio Claustros y Colegiaturas, de los talleres de planeación estratégica y los resultados de la Mesa de Diálogo Nacional Multiestamentaria. Por tal razón, las líneas estratégicas presentadas a continuación podrán ser ajustadas o modificadas durante el desarrollo del proceso de formulación. </w:t>
      </w:r>
    </w:p>
    <w:p w14:paraId="77E5D0D3" w14:textId="77777777" w:rsidR="00160628" w:rsidRDefault="00160628" w:rsidP="00160628">
      <w:pPr>
        <w:jc w:val="both"/>
        <w:rPr>
          <w:rFonts w:ascii="Ancizar Sans" w:hAnsi="Ancizar Sans"/>
        </w:rPr>
      </w:pPr>
      <w:r>
        <w:rPr>
          <w:rFonts w:ascii="Ancizar Sans" w:hAnsi="Ancizar Sans"/>
        </w:rPr>
        <w:t>En este sentido, la propuesta rectoral del Profesor Leopoldo Munera está orientada hacia el</w:t>
      </w:r>
      <w:r w:rsidRPr="003D17EF">
        <w:rPr>
          <w:rFonts w:ascii="Ancizar Sans" w:hAnsi="Ancizar Sans"/>
        </w:rPr>
        <w:t xml:space="preserve"> horizonte académico y político</w:t>
      </w:r>
      <w:r>
        <w:rPr>
          <w:rFonts w:ascii="Ancizar Sans" w:hAnsi="Ancizar Sans"/>
        </w:rPr>
        <w:t xml:space="preserve"> de</w:t>
      </w:r>
      <w:r w:rsidRPr="003D17EF">
        <w:rPr>
          <w:rFonts w:ascii="Ancizar Sans" w:hAnsi="Ancizar Sans"/>
        </w:rPr>
        <w:t xml:space="preserve"> la </w:t>
      </w:r>
      <w:r>
        <w:rPr>
          <w:rFonts w:ascii="Ancizar Sans" w:hAnsi="Ancizar Sans"/>
        </w:rPr>
        <w:t>U</w:t>
      </w:r>
      <w:r w:rsidRPr="003D17EF">
        <w:rPr>
          <w:rFonts w:ascii="Ancizar Sans" w:hAnsi="Ancizar Sans"/>
        </w:rPr>
        <w:t xml:space="preserve">niversidad </w:t>
      </w:r>
      <w:r>
        <w:rPr>
          <w:rFonts w:ascii="Ancizar Sans" w:hAnsi="Ancizar Sans"/>
        </w:rPr>
        <w:t>N</w:t>
      </w:r>
      <w:r w:rsidRPr="003D17EF">
        <w:rPr>
          <w:rFonts w:ascii="Ancizar Sans" w:hAnsi="Ancizar Sans"/>
        </w:rPr>
        <w:t xml:space="preserve">acional de </w:t>
      </w:r>
      <w:r>
        <w:rPr>
          <w:rFonts w:ascii="Ancizar Sans" w:hAnsi="Ancizar Sans"/>
        </w:rPr>
        <w:t>C</w:t>
      </w:r>
      <w:r w:rsidRPr="003D17EF">
        <w:rPr>
          <w:rFonts w:ascii="Ancizar Sans" w:hAnsi="Ancizar Sans"/>
        </w:rPr>
        <w:t>olombia</w:t>
      </w:r>
      <w:r>
        <w:rPr>
          <w:rFonts w:ascii="Ancizar Sans" w:hAnsi="Ancizar Sans"/>
        </w:rPr>
        <w:t xml:space="preserve"> en el marco de la concepción de la</w:t>
      </w:r>
      <w:r w:rsidRPr="003D17EF">
        <w:rPr>
          <w:rFonts w:ascii="Ancizar Sans" w:hAnsi="Ancizar Sans"/>
        </w:rPr>
        <w:t xml:space="preserve"> educación superior como derecho fundamental y bien común</w:t>
      </w:r>
      <w:r>
        <w:rPr>
          <w:rFonts w:ascii="Ancizar Sans" w:hAnsi="Ancizar Sans"/>
        </w:rPr>
        <w:t xml:space="preserve">. Lo cual implica afrontar tres desafíos a nivel institucional: 1. </w:t>
      </w:r>
      <w:r w:rsidRPr="0029589D">
        <w:rPr>
          <w:rFonts w:ascii="Ancizar Sans" w:hAnsi="Ancizar Sans"/>
        </w:rPr>
        <w:t>La construcción de comunidad universitaria y el fortalecimiento académico</w:t>
      </w:r>
      <w:r>
        <w:rPr>
          <w:rFonts w:ascii="Ancizar Sans" w:hAnsi="Ancizar Sans"/>
        </w:rPr>
        <w:t xml:space="preserve">; 2. </w:t>
      </w:r>
      <w:r w:rsidRPr="0029589D">
        <w:rPr>
          <w:rFonts w:ascii="Ancizar Sans" w:hAnsi="Ancizar Sans"/>
        </w:rPr>
        <w:t>La proyección nacional en diálogo con los territorios</w:t>
      </w:r>
      <w:r>
        <w:rPr>
          <w:rFonts w:ascii="Ancizar Sans" w:hAnsi="Ancizar Sans"/>
        </w:rPr>
        <w:t xml:space="preserve"> y 3. </w:t>
      </w:r>
      <w:r w:rsidRPr="003D17EF">
        <w:rPr>
          <w:rFonts w:ascii="Ancizar Sans" w:hAnsi="Ancizar Sans"/>
        </w:rPr>
        <w:t>La democratización de la institución y la vida académica</w:t>
      </w:r>
      <w:r>
        <w:rPr>
          <w:rFonts w:ascii="Ancizar Sans" w:hAnsi="Ancizar Sans"/>
        </w:rPr>
        <w:t>. De esta forma, y c</w:t>
      </w:r>
      <w:r w:rsidRPr="0029589D">
        <w:rPr>
          <w:rFonts w:ascii="Ancizar Sans" w:hAnsi="Ancizar Sans"/>
        </w:rPr>
        <w:t xml:space="preserve">on el propósito de responder a estos desafíos desde el horizonte académico y político definido, se plantean </w:t>
      </w:r>
      <w:r>
        <w:rPr>
          <w:rFonts w:ascii="Ancizar Sans" w:hAnsi="Ancizar Sans"/>
        </w:rPr>
        <w:t xml:space="preserve">tres nodos y </w:t>
      </w:r>
      <w:r w:rsidRPr="0029589D">
        <w:rPr>
          <w:rFonts w:ascii="Ancizar Sans" w:hAnsi="Ancizar Sans"/>
        </w:rPr>
        <w:t xml:space="preserve">ocho ejes </w:t>
      </w:r>
      <w:r>
        <w:rPr>
          <w:rFonts w:ascii="Ancizar Sans" w:hAnsi="Ancizar Sans"/>
        </w:rPr>
        <w:t xml:space="preserve">que representan los elementos centrales de </w:t>
      </w:r>
      <w:r w:rsidRPr="0029589D">
        <w:rPr>
          <w:rFonts w:ascii="Ancizar Sans" w:hAnsi="Ancizar Sans"/>
        </w:rPr>
        <w:t>la transformación institucional, académica y administrativa de la Universidad en su conjunto y de su participación en el sistema público de educación superior, en diálogo permanente con la comunidad universitaria y la sociedad colombiana:</w:t>
      </w:r>
    </w:p>
    <w:p w14:paraId="46891BD3" w14:textId="77777777" w:rsidR="00160628" w:rsidRDefault="00160628" w:rsidP="00160628">
      <w:pPr>
        <w:spacing w:after="0"/>
        <w:jc w:val="both"/>
        <w:rPr>
          <w:rFonts w:ascii="Ancizar Sans" w:hAnsi="Ancizar Sans"/>
          <w:b/>
          <w:bCs/>
        </w:rPr>
      </w:pPr>
      <w:r w:rsidRPr="00046B07">
        <w:rPr>
          <w:rFonts w:ascii="Ancizar Sans" w:hAnsi="Ancizar Sans"/>
          <w:b/>
          <w:bCs/>
        </w:rPr>
        <w:t>Nodo Liderazgo</w:t>
      </w:r>
    </w:p>
    <w:p w14:paraId="14FD3A28" w14:textId="77777777" w:rsidR="00160628" w:rsidRPr="006A01DE" w:rsidRDefault="00160628" w:rsidP="00160628">
      <w:pPr>
        <w:pStyle w:val="Prrafodelista"/>
        <w:numPr>
          <w:ilvl w:val="0"/>
          <w:numId w:val="3"/>
        </w:numPr>
        <w:jc w:val="both"/>
        <w:rPr>
          <w:rFonts w:ascii="Ancizar Sans" w:hAnsi="Ancizar Sans"/>
        </w:rPr>
      </w:pPr>
      <w:r>
        <w:rPr>
          <w:rFonts w:ascii="Ancizar Sans" w:hAnsi="Ancizar Sans"/>
          <w:b/>
          <w:bCs/>
        </w:rPr>
        <w:t xml:space="preserve">Eje 1: </w:t>
      </w:r>
      <w:r w:rsidRPr="006A01DE">
        <w:rPr>
          <w:rFonts w:ascii="Ancizar Sans" w:hAnsi="Ancizar Sans"/>
          <w:b/>
          <w:bCs/>
        </w:rPr>
        <w:t>Liderazgo en la educación superior colombiana.</w:t>
      </w:r>
      <w:r w:rsidRPr="006A01DE">
        <w:rPr>
          <w:rFonts w:ascii="Ancizar Sans" w:hAnsi="Ancizar Sans"/>
        </w:rPr>
        <w:t xml:space="preserve"> Fortalecer la Universidad Nacional de Colombia como núcleo de la educación superior pública, mediante una estrategia institucional que realice su misión histórica y empodere a las comunidades académicas que la constituyen.</w:t>
      </w:r>
    </w:p>
    <w:p w14:paraId="51ACD577" w14:textId="77777777" w:rsidR="00160628" w:rsidRPr="00046B07" w:rsidRDefault="00160628" w:rsidP="00160628">
      <w:pPr>
        <w:pStyle w:val="Prrafodelista"/>
        <w:numPr>
          <w:ilvl w:val="0"/>
          <w:numId w:val="3"/>
        </w:numPr>
        <w:jc w:val="both"/>
        <w:rPr>
          <w:rFonts w:ascii="Ancizar Sans" w:hAnsi="Ancizar Sans"/>
        </w:rPr>
      </w:pPr>
      <w:r>
        <w:rPr>
          <w:rFonts w:ascii="Ancizar Sans" w:hAnsi="Ancizar Sans"/>
          <w:b/>
          <w:bCs/>
        </w:rPr>
        <w:t xml:space="preserve">Eje 2: </w:t>
      </w:r>
      <w:r w:rsidRPr="006A01DE">
        <w:rPr>
          <w:rFonts w:ascii="Ancizar Sans" w:hAnsi="Ancizar Sans"/>
          <w:b/>
          <w:bCs/>
        </w:rPr>
        <w:t>Autonomía y democratización de la vida universitaria.</w:t>
      </w:r>
      <w:r w:rsidRPr="006A01DE">
        <w:rPr>
          <w:rFonts w:ascii="Ancizar Sans" w:hAnsi="Ancizar Sans"/>
        </w:rPr>
        <w:t xml:space="preserve"> Transformar la comunidad universitaria en el sujeto de la autonomía, mediante la democratización de su gobierno y su vida académica, desde la concepción de la educación como un bien común y la materialización de los vínculos con las y los egresadas/os.</w:t>
      </w:r>
    </w:p>
    <w:p w14:paraId="6E861443" w14:textId="77777777" w:rsidR="00160628" w:rsidRPr="00046B07" w:rsidRDefault="00160628" w:rsidP="00160628">
      <w:pPr>
        <w:spacing w:after="0"/>
        <w:jc w:val="both"/>
        <w:rPr>
          <w:rFonts w:ascii="Ancizar Sans" w:hAnsi="Ancizar Sans"/>
          <w:b/>
          <w:bCs/>
        </w:rPr>
      </w:pPr>
      <w:r w:rsidRPr="00046B07">
        <w:rPr>
          <w:rFonts w:ascii="Ancizar Sans" w:hAnsi="Ancizar Sans"/>
          <w:b/>
          <w:bCs/>
        </w:rPr>
        <w:t>Nodo Diversidad</w:t>
      </w:r>
    </w:p>
    <w:p w14:paraId="28C44CF8" w14:textId="77777777" w:rsidR="00160628" w:rsidRPr="006A01DE" w:rsidRDefault="00160628" w:rsidP="00160628">
      <w:pPr>
        <w:pStyle w:val="Prrafodelista"/>
        <w:numPr>
          <w:ilvl w:val="0"/>
          <w:numId w:val="2"/>
        </w:numPr>
        <w:jc w:val="both"/>
        <w:rPr>
          <w:rFonts w:ascii="Ancizar Sans" w:hAnsi="Ancizar Sans"/>
        </w:rPr>
      </w:pPr>
      <w:r>
        <w:rPr>
          <w:rFonts w:ascii="Ancizar Sans" w:hAnsi="Ancizar Sans"/>
          <w:b/>
          <w:bCs/>
        </w:rPr>
        <w:lastRenderedPageBreak/>
        <w:t xml:space="preserve">Eje 3: </w:t>
      </w:r>
      <w:r w:rsidRPr="006A01DE">
        <w:rPr>
          <w:rFonts w:ascii="Ancizar Sans" w:hAnsi="Ancizar Sans"/>
          <w:b/>
          <w:bCs/>
        </w:rPr>
        <w:t>Unidiversidad.</w:t>
      </w:r>
      <w:r w:rsidRPr="006A01DE">
        <w:rPr>
          <w:rFonts w:ascii="Ancizar Sans" w:hAnsi="Ancizar Sans"/>
        </w:rPr>
        <w:t xml:space="preserve"> Estructurar la unidiversidad mediante la construcción de un proyecto unitario desde la diversidad cognitiva, social, cultural y regional que caracteriza a la institución y a la comunidad académica. La integración de las sedes en una red con diferentes nodos de articulación debe convertirse en un objetivo prioritario para la dirección de la Universidad.</w:t>
      </w:r>
    </w:p>
    <w:p w14:paraId="0DC99F09" w14:textId="77777777" w:rsidR="00160628" w:rsidRPr="006A01DE" w:rsidRDefault="00160628" w:rsidP="00160628">
      <w:pPr>
        <w:pStyle w:val="Prrafodelista"/>
        <w:numPr>
          <w:ilvl w:val="0"/>
          <w:numId w:val="2"/>
        </w:numPr>
        <w:jc w:val="both"/>
        <w:rPr>
          <w:rFonts w:ascii="Ancizar Sans" w:hAnsi="Ancizar Sans"/>
        </w:rPr>
      </w:pPr>
      <w:r>
        <w:rPr>
          <w:rFonts w:ascii="Ancizar Sans" w:hAnsi="Ancizar Sans"/>
          <w:b/>
          <w:bCs/>
        </w:rPr>
        <w:t xml:space="preserve">Eje 4: </w:t>
      </w:r>
      <w:r w:rsidRPr="006A01DE">
        <w:rPr>
          <w:rFonts w:ascii="Ancizar Sans" w:hAnsi="Ancizar Sans"/>
          <w:b/>
          <w:bCs/>
        </w:rPr>
        <w:t>Reconocimiento para la igualdad.</w:t>
      </w:r>
      <w:r w:rsidRPr="006A01DE">
        <w:rPr>
          <w:rFonts w:ascii="Ancizar Sans" w:hAnsi="Ancizar Sans"/>
        </w:rPr>
        <w:t xml:space="preserve"> Avanzar hacia el reconocimiento de las diferencias no jerarquizadas en el sistema interno de sexo y género, así como en el relativo a la identidad étnica y a las capacidades humanas. Orientar las acciones institucionales hacia la erradicación de las violencias basadas en las asimetrías de poder.</w:t>
      </w:r>
    </w:p>
    <w:p w14:paraId="0AE6E70D" w14:textId="77777777" w:rsidR="00160628" w:rsidRPr="006A01DE" w:rsidRDefault="00160628" w:rsidP="00160628">
      <w:pPr>
        <w:pStyle w:val="Prrafodelista"/>
        <w:numPr>
          <w:ilvl w:val="0"/>
          <w:numId w:val="2"/>
        </w:numPr>
        <w:jc w:val="both"/>
        <w:rPr>
          <w:rFonts w:ascii="Ancizar Sans" w:hAnsi="Ancizar Sans"/>
        </w:rPr>
      </w:pPr>
      <w:r>
        <w:rPr>
          <w:rFonts w:ascii="Ancizar Sans" w:hAnsi="Ancizar Sans"/>
          <w:b/>
          <w:bCs/>
        </w:rPr>
        <w:t xml:space="preserve">Eje 5: </w:t>
      </w:r>
      <w:r w:rsidRPr="006A01DE">
        <w:rPr>
          <w:rFonts w:ascii="Ancizar Sans" w:hAnsi="Ancizar Sans"/>
          <w:b/>
          <w:bCs/>
        </w:rPr>
        <w:t>Bienestar para la vida universitaria.</w:t>
      </w:r>
      <w:r w:rsidRPr="006A01DE">
        <w:rPr>
          <w:rFonts w:ascii="Ancizar Sans" w:hAnsi="Ancizar Sans"/>
        </w:rPr>
        <w:t xml:space="preserve"> Construir un sistema integral de bienestar que responda a las necesidades actuales de la comunidad universitaria.</w:t>
      </w:r>
    </w:p>
    <w:p w14:paraId="573A9BD6" w14:textId="77777777" w:rsidR="00160628" w:rsidRPr="00046B07" w:rsidRDefault="00160628" w:rsidP="00160628">
      <w:pPr>
        <w:spacing w:after="0"/>
        <w:jc w:val="both"/>
        <w:rPr>
          <w:rFonts w:ascii="Ancizar Sans" w:hAnsi="Ancizar Sans"/>
          <w:b/>
          <w:bCs/>
        </w:rPr>
      </w:pPr>
      <w:r w:rsidRPr="00046B07">
        <w:rPr>
          <w:rFonts w:ascii="Ancizar Sans" w:hAnsi="Ancizar Sans"/>
          <w:b/>
          <w:bCs/>
        </w:rPr>
        <w:t>Nodo Integración Académica:</w:t>
      </w:r>
    </w:p>
    <w:p w14:paraId="7E7950D5" w14:textId="77777777" w:rsidR="00160628" w:rsidRDefault="00160628" w:rsidP="00160628">
      <w:pPr>
        <w:pStyle w:val="Prrafodelista"/>
        <w:numPr>
          <w:ilvl w:val="0"/>
          <w:numId w:val="1"/>
        </w:numPr>
        <w:jc w:val="both"/>
        <w:rPr>
          <w:rFonts w:ascii="Ancizar Sans" w:hAnsi="Ancizar Sans"/>
        </w:rPr>
      </w:pPr>
      <w:r>
        <w:rPr>
          <w:rFonts w:ascii="Ancizar Sans" w:hAnsi="Ancizar Sans"/>
          <w:b/>
          <w:bCs/>
        </w:rPr>
        <w:t xml:space="preserve">Eje 6: </w:t>
      </w:r>
      <w:r w:rsidRPr="006A01DE">
        <w:rPr>
          <w:rFonts w:ascii="Ancizar Sans" w:hAnsi="Ancizar Sans"/>
          <w:b/>
          <w:bCs/>
        </w:rPr>
        <w:t>Trayectorias académicas diversas.</w:t>
      </w:r>
      <w:r w:rsidRPr="006A01DE">
        <w:rPr>
          <w:rFonts w:ascii="Ancizar Sans" w:hAnsi="Ancizar Sans"/>
        </w:rPr>
        <w:t xml:space="preserve"> Ampliar las trayectorias académicas de las y los estudiantes de pregrado y posgrado, mediante la diversificación del</w:t>
      </w:r>
      <w:r>
        <w:rPr>
          <w:rFonts w:ascii="Ancizar Sans" w:hAnsi="Ancizar Sans"/>
        </w:rPr>
        <w:t xml:space="preserve"> </w:t>
      </w:r>
      <w:r w:rsidRPr="006A01DE">
        <w:rPr>
          <w:rFonts w:ascii="Ancizar Sans" w:hAnsi="Ancizar Sans"/>
        </w:rPr>
        <w:t>ingreso y el egreso a la Universidad de acuerdo con la pertinencia nacional, regional y territorial de los programas académicos.</w:t>
      </w:r>
    </w:p>
    <w:p w14:paraId="0F1EF165" w14:textId="77777777" w:rsidR="00160628" w:rsidRPr="006A01DE" w:rsidRDefault="00160628" w:rsidP="00160628">
      <w:pPr>
        <w:pStyle w:val="Prrafodelista"/>
        <w:numPr>
          <w:ilvl w:val="0"/>
          <w:numId w:val="1"/>
        </w:numPr>
        <w:jc w:val="both"/>
        <w:rPr>
          <w:rFonts w:ascii="Ancizar Sans" w:hAnsi="Ancizar Sans"/>
        </w:rPr>
      </w:pPr>
      <w:r>
        <w:rPr>
          <w:rFonts w:ascii="Ancizar Sans" w:hAnsi="Ancizar Sans"/>
          <w:b/>
          <w:bCs/>
        </w:rPr>
        <w:t xml:space="preserve">Eje 7: </w:t>
      </w:r>
      <w:r w:rsidRPr="006A01DE">
        <w:rPr>
          <w:rFonts w:ascii="Ancizar Sans" w:hAnsi="Ancizar Sans"/>
          <w:b/>
          <w:bCs/>
        </w:rPr>
        <w:t>Líneas integradas de trabajo académico con proyección nacional e internacional.</w:t>
      </w:r>
      <w:r w:rsidRPr="006A01DE">
        <w:rPr>
          <w:rFonts w:ascii="Ancizar Sans" w:hAnsi="Ancizar Sans"/>
        </w:rPr>
        <w:t xml:space="preserve"> Integrar las funciones misionales en líneas de trabajo académico que permitan articular la docencia, la investigación y la interrelación con la sociedad, en virtud de planes de trabajo colectivos y coherentes que obedezcan a los criterios internos de valoración académica, a la pertinencia del conocimiento y los saberes culturales, y a la formación integral en la educación superior. Armonizar los proyectos de innovación y transferencia del conocimiento en relación con la docencia y la investigación científica, académica y artística de la Universidad como institución pública.</w:t>
      </w:r>
    </w:p>
    <w:p w14:paraId="311F6677" w14:textId="77777777" w:rsidR="00160628" w:rsidRPr="00046B07" w:rsidRDefault="00160628" w:rsidP="00160628">
      <w:pPr>
        <w:pStyle w:val="Prrafodelista"/>
        <w:numPr>
          <w:ilvl w:val="0"/>
          <w:numId w:val="1"/>
        </w:numPr>
        <w:jc w:val="both"/>
        <w:rPr>
          <w:rFonts w:ascii="Ancizar Sans" w:hAnsi="Ancizar Sans"/>
        </w:rPr>
      </w:pPr>
      <w:r>
        <w:rPr>
          <w:rFonts w:ascii="Ancizar Sans" w:hAnsi="Ancizar Sans"/>
          <w:b/>
          <w:bCs/>
        </w:rPr>
        <w:t xml:space="preserve">Eje 8: </w:t>
      </w:r>
      <w:r w:rsidRPr="006A01DE">
        <w:rPr>
          <w:rFonts w:ascii="Ancizar Sans" w:hAnsi="Ancizar Sans"/>
          <w:b/>
          <w:bCs/>
        </w:rPr>
        <w:t>Administración al servicio de la vida académica.</w:t>
      </w:r>
      <w:r w:rsidRPr="006A01DE">
        <w:rPr>
          <w:rFonts w:ascii="Ancizar Sans" w:hAnsi="Ancizar Sans"/>
        </w:rPr>
        <w:t xml:space="preserve"> Establecer una institucionalidad y una organización internas reflexivas que posibiliten el diálogo entre el personal administrativo, las directivas, el profesorado y el estudiantado para acompasar las funciones administrativas con la misión académica de la Universidad y contribuir a mejorar las condiciones laborales. La dirección y administración de la Universidad debe ser pensada por la comunidad y no solo por los expertos.</w:t>
      </w:r>
    </w:p>
    <w:p w14:paraId="1CAAB49B" w14:textId="77777777" w:rsidR="00160628" w:rsidRPr="00F715CB" w:rsidRDefault="00160628" w:rsidP="00160628">
      <w:pPr>
        <w:jc w:val="both"/>
        <w:rPr>
          <w:rFonts w:ascii="Ancizar Sans" w:hAnsi="Ancizar Sans"/>
        </w:rPr>
      </w:pPr>
      <w:r>
        <w:rPr>
          <w:rFonts w:ascii="Ancizar Sans" w:hAnsi="Ancizar Sans"/>
        </w:rPr>
        <w:t xml:space="preserve">Durante la fase final del proceso de formulación del Plan Global de Desarrollo, se elabora </w:t>
      </w:r>
      <w:r w:rsidRPr="00A65AA4">
        <w:rPr>
          <w:rFonts w:ascii="Ancizar Sans" w:hAnsi="Ancizar Sans"/>
        </w:rPr>
        <w:t xml:space="preserve">el Plan </w:t>
      </w:r>
      <w:r>
        <w:rPr>
          <w:rFonts w:ascii="Ancizar Sans" w:hAnsi="Ancizar Sans"/>
        </w:rPr>
        <w:t>f</w:t>
      </w:r>
      <w:r w:rsidRPr="00A65AA4">
        <w:rPr>
          <w:rFonts w:ascii="Ancizar Sans" w:hAnsi="Ancizar Sans"/>
        </w:rPr>
        <w:t>inanciero de inversión que permit</w:t>
      </w:r>
      <w:r>
        <w:rPr>
          <w:rFonts w:ascii="Ancizar Sans" w:hAnsi="Ancizar Sans"/>
        </w:rPr>
        <w:t>e</w:t>
      </w:r>
      <w:r w:rsidRPr="00A65AA4">
        <w:rPr>
          <w:rFonts w:ascii="Ancizar Sans" w:hAnsi="Ancizar Sans"/>
        </w:rPr>
        <w:t xml:space="preserve"> asignar y distribuir los recursos</w:t>
      </w:r>
      <w:r>
        <w:rPr>
          <w:rFonts w:ascii="Ancizar Sans" w:hAnsi="Ancizar Sans"/>
        </w:rPr>
        <w:t>, determinando el impacto en la inversión a nivel nacional y sede, de acuerdo con los ejes de acción definidos en el Plan, lo que permitirá la materialización de las transformaciones propuestas a través de proyectos de inversión que contienen objetivos, metas, indicadores y actividades de avance. Estos elementos serán centrales durante la etapa de seguimiento a la ejecución del Plan Global de Desarrollo y de la medición de cumplimiento de las apuestas plasmadas en el documento final de Plan Global de Desarrollo 2025-2027 “</w:t>
      </w:r>
      <w:r>
        <w:rPr>
          <w:rFonts w:ascii="Ancizar Sans" w:hAnsi="Ancizar Sans"/>
          <w:i/>
          <w:iCs/>
        </w:rPr>
        <w:t>P</w:t>
      </w:r>
      <w:r w:rsidRPr="00F715CB">
        <w:rPr>
          <w:rFonts w:ascii="Ancizar Sans" w:hAnsi="Ancizar Sans"/>
          <w:i/>
          <w:iCs/>
        </w:rPr>
        <w:t>or una universidad pública y nacional que garantice el acceso al bien común del conocimiento y el derecho fundamental a la educación superior</w:t>
      </w:r>
      <w:r>
        <w:rPr>
          <w:rFonts w:ascii="Ancizar Sans" w:hAnsi="Ancizar Sans"/>
        </w:rPr>
        <w:t>”.</w:t>
      </w:r>
    </w:p>
    <w:p w14:paraId="5BDF5BD3" w14:textId="77777777" w:rsidR="00160628" w:rsidRDefault="00160628" w:rsidP="00160628">
      <w:pPr>
        <w:jc w:val="both"/>
        <w:rPr>
          <w:rFonts w:ascii="Ancizar Sans" w:hAnsi="Ancizar Sans"/>
        </w:rPr>
      </w:pPr>
      <w:r>
        <w:rPr>
          <w:rFonts w:ascii="Ancizar Sans" w:hAnsi="Ancizar Sans"/>
        </w:rPr>
        <w:t>Este Plan Financiero de Inversión surte los siguientes pasos:</w:t>
      </w:r>
    </w:p>
    <w:p w14:paraId="22D28C5D" w14:textId="77777777" w:rsidR="00160628" w:rsidRPr="00A65AA4" w:rsidRDefault="00160628" w:rsidP="00160628">
      <w:pPr>
        <w:pStyle w:val="Prrafodelista"/>
        <w:numPr>
          <w:ilvl w:val="0"/>
          <w:numId w:val="4"/>
        </w:numPr>
        <w:jc w:val="both"/>
        <w:rPr>
          <w:rFonts w:ascii="Ancizar Sans" w:hAnsi="Ancizar Sans"/>
        </w:rPr>
      </w:pPr>
      <w:r w:rsidRPr="00A65AA4">
        <w:rPr>
          <w:rFonts w:ascii="Ancizar Sans" w:hAnsi="Ancizar Sans"/>
        </w:rPr>
        <w:t xml:space="preserve">Identificar los lineamientos para la planeación y proyección del Plan financiero de inversión. </w:t>
      </w:r>
    </w:p>
    <w:p w14:paraId="025F960B" w14:textId="77777777" w:rsidR="00160628" w:rsidRPr="00A65AA4" w:rsidRDefault="00160628" w:rsidP="00160628">
      <w:pPr>
        <w:pStyle w:val="Prrafodelista"/>
        <w:numPr>
          <w:ilvl w:val="0"/>
          <w:numId w:val="4"/>
        </w:numPr>
        <w:jc w:val="both"/>
        <w:rPr>
          <w:rFonts w:ascii="Ancizar Sans" w:hAnsi="Ancizar Sans"/>
        </w:rPr>
      </w:pPr>
      <w:r w:rsidRPr="00A65AA4">
        <w:rPr>
          <w:rFonts w:ascii="Ancizar Sans" w:hAnsi="Ancizar Sans"/>
        </w:rPr>
        <w:t>Establecer necesidades para identificar el dimensionamiento del Plan financiero de inversión</w:t>
      </w:r>
    </w:p>
    <w:p w14:paraId="280BD7B3" w14:textId="77777777" w:rsidR="00160628" w:rsidRPr="00A65AA4" w:rsidRDefault="00160628" w:rsidP="00160628">
      <w:pPr>
        <w:pStyle w:val="Prrafodelista"/>
        <w:numPr>
          <w:ilvl w:val="0"/>
          <w:numId w:val="4"/>
        </w:numPr>
        <w:jc w:val="both"/>
        <w:rPr>
          <w:rFonts w:ascii="Ancizar Sans" w:hAnsi="Ancizar Sans"/>
        </w:rPr>
      </w:pPr>
      <w:r w:rsidRPr="00A65AA4">
        <w:rPr>
          <w:rFonts w:ascii="Ancizar Sans" w:hAnsi="Ancizar Sans"/>
        </w:rPr>
        <w:t>Elaborar proyección de ingresos y gastos</w:t>
      </w:r>
    </w:p>
    <w:p w14:paraId="695EAE3E" w14:textId="77777777" w:rsidR="00160628" w:rsidRPr="00A65AA4" w:rsidRDefault="00160628" w:rsidP="00160628">
      <w:pPr>
        <w:pStyle w:val="Prrafodelista"/>
        <w:numPr>
          <w:ilvl w:val="0"/>
          <w:numId w:val="4"/>
        </w:numPr>
        <w:jc w:val="both"/>
        <w:rPr>
          <w:rFonts w:ascii="Ancizar Sans" w:hAnsi="Ancizar Sans"/>
        </w:rPr>
      </w:pPr>
      <w:r w:rsidRPr="00A65AA4">
        <w:rPr>
          <w:rFonts w:ascii="Ancizar Sans" w:hAnsi="Ancizar Sans"/>
        </w:rPr>
        <w:t>Presentar el informe de anteproyecto de gastos de inversión</w:t>
      </w:r>
    </w:p>
    <w:p w14:paraId="704F648D" w14:textId="77777777" w:rsidR="00160628" w:rsidRPr="00A65AA4" w:rsidRDefault="00160628" w:rsidP="00160628">
      <w:pPr>
        <w:pStyle w:val="Prrafodelista"/>
        <w:numPr>
          <w:ilvl w:val="0"/>
          <w:numId w:val="4"/>
        </w:numPr>
        <w:jc w:val="both"/>
        <w:rPr>
          <w:rFonts w:ascii="Ancizar Sans" w:hAnsi="Ancizar Sans"/>
        </w:rPr>
      </w:pPr>
      <w:r w:rsidRPr="00A65AA4">
        <w:rPr>
          <w:rFonts w:ascii="Ancizar Sans" w:hAnsi="Ancizar Sans"/>
        </w:rPr>
        <w:lastRenderedPageBreak/>
        <w:t>Presentar resultado del informe anteproyecto de gastos de inversión</w:t>
      </w:r>
    </w:p>
    <w:p w14:paraId="30D161DF" w14:textId="77777777" w:rsidR="00160628" w:rsidRPr="00A65AA4" w:rsidRDefault="00160628" w:rsidP="00160628">
      <w:pPr>
        <w:pStyle w:val="Prrafodelista"/>
        <w:numPr>
          <w:ilvl w:val="0"/>
          <w:numId w:val="4"/>
        </w:numPr>
        <w:jc w:val="both"/>
        <w:rPr>
          <w:rFonts w:ascii="Ancizar Sans" w:hAnsi="Ancizar Sans"/>
        </w:rPr>
      </w:pPr>
      <w:r w:rsidRPr="00A65AA4">
        <w:rPr>
          <w:rFonts w:ascii="Ancizar Sans" w:hAnsi="Ancizar Sans"/>
        </w:rPr>
        <w:t>Asignar recursos de inversión</w:t>
      </w:r>
    </w:p>
    <w:p w14:paraId="6BA46A2C" w14:textId="77777777" w:rsidR="00160628" w:rsidRPr="00A65AA4" w:rsidRDefault="00160628" w:rsidP="00160628">
      <w:pPr>
        <w:pStyle w:val="Prrafodelista"/>
        <w:numPr>
          <w:ilvl w:val="0"/>
          <w:numId w:val="4"/>
        </w:numPr>
        <w:jc w:val="both"/>
        <w:rPr>
          <w:rFonts w:ascii="Ancizar Sans" w:hAnsi="Ancizar Sans"/>
        </w:rPr>
      </w:pPr>
      <w:r w:rsidRPr="00A65AA4">
        <w:rPr>
          <w:rFonts w:ascii="Ancizar Sans" w:hAnsi="Ancizar Sans"/>
        </w:rPr>
        <w:t>Revisar y definir la propuesta de asignación de recursos</w:t>
      </w:r>
    </w:p>
    <w:p w14:paraId="1D8A02BD" w14:textId="77777777" w:rsidR="00160628" w:rsidRPr="00A65AA4" w:rsidRDefault="00160628" w:rsidP="00160628">
      <w:pPr>
        <w:pStyle w:val="Prrafodelista"/>
        <w:numPr>
          <w:ilvl w:val="0"/>
          <w:numId w:val="4"/>
        </w:numPr>
        <w:jc w:val="both"/>
        <w:rPr>
          <w:rFonts w:ascii="Ancizar Sans" w:hAnsi="Ancizar Sans"/>
        </w:rPr>
      </w:pPr>
      <w:r w:rsidRPr="00A65AA4">
        <w:rPr>
          <w:rFonts w:ascii="Ancizar Sans" w:hAnsi="Ancizar Sans"/>
        </w:rPr>
        <w:t>Recibir acto administrativo de aprobación del presupuesto de la vigencia</w:t>
      </w:r>
    </w:p>
    <w:p w14:paraId="5297BDBD" w14:textId="77777777" w:rsidR="00160628" w:rsidRPr="00A65AA4" w:rsidRDefault="00160628" w:rsidP="00160628">
      <w:pPr>
        <w:pStyle w:val="Prrafodelista"/>
        <w:numPr>
          <w:ilvl w:val="0"/>
          <w:numId w:val="4"/>
        </w:numPr>
        <w:jc w:val="both"/>
        <w:rPr>
          <w:rFonts w:ascii="Ancizar Sans" w:hAnsi="Ancizar Sans"/>
        </w:rPr>
      </w:pPr>
      <w:r w:rsidRPr="00A65AA4">
        <w:rPr>
          <w:rFonts w:ascii="Ancizar Sans" w:hAnsi="Ancizar Sans"/>
        </w:rPr>
        <w:t>Comunicar la asignación de recursos</w:t>
      </w:r>
    </w:p>
    <w:p w14:paraId="2256D487" w14:textId="77777777" w:rsidR="00160628" w:rsidRPr="00A65AA4" w:rsidRDefault="00160628" w:rsidP="00160628">
      <w:pPr>
        <w:pStyle w:val="Prrafodelista"/>
        <w:numPr>
          <w:ilvl w:val="0"/>
          <w:numId w:val="4"/>
        </w:numPr>
        <w:jc w:val="both"/>
        <w:rPr>
          <w:rFonts w:ascii="Ancizar Sans" w:hAnsi="Ancizar Sans"/>
        </w:rPr>
      </w:pPr>
      <w:r w:rsidRPr="00A65AA4">
        <w:rPr>
          <w:rFonts w:ascii="Ancizar Sans" w:hAnsi="Ancizar Sans"/>
        </w:rPr>
        <w:t>Generar reporte con el Plan de inversiones</w:t>
      </w:r>
    </w:p>
    <w:p w14:paraId="782402DA" w14:textId="77777777" w:rsidR="00160628" w:rsidRPr="00A65AA4" w:rsidRDefault="00160628" w:rsidP="00160628">
      <w:pPr>
        <w:pStyle w:val="Prrafodelista"/>
        <w:numPr>
          <w:ilvl w:val="0"/>
          <w:numId w:val="4"/>
        </w:numPr>
        <w:jc w:val="both"/>
        <w:rPr>
          <w:rFonts w:ascii="Ancizar Sans" w:hAnsi="Ancizar Sans"/>
        </w:rPr>
      </w:pPr>
      <w:r w:rsidRPr="00A65AA4">
        <w:rPr>
          <w:rFonts w:ascii="Ancizar Sans" w:hAnsi="Ancizar Sans"/>
        </w:rPr>
        <w:t>Elaborar acto administrativo con el Plan de inversiones</w:t>
      </w:r>
    </w:p>
    <w:p w14:paraId="188E4DCC" w14:textId="77777777" w:rsidR="00160628" w:rsidRPr="00A65AA4" w:rsidRDefault="00160628" w:rsidP="00160628">
      <w:pPr>
        <w:pStyle w:val="Prrafodelista"/>
        <w:numPr>
          <w:ilvl w:val="0"/>
          <w:numId w:val="4"/>
        </w:numPr>
        <w:jc w:val="both"/>
        <w:rPr>
          <w:rFonts w:ascii="Ancizar Sans" w:hAnsi="Ancizar Sans"/>
        </w:rPr>
      </w:pPr>
      <w:r w:rsidRPr="00A65AA4">
        <w:rPr>
          <w:rFonts w:ascii="Ancizar Sans" w:hAnsi="Ancizar Sans"/>
        </w:rPr>
        <w:t>Comunicar acto administrativo con el Plan de inversiones</w:t>
      </w:r>
    </w:p>
    <w:p w14:paraId="264B5477" w14:textId="77777777" w:rsidR="00160628" w:rsidRPr="00A65AA4" w:rsidRDefault="00160628" w:rsidP="00160628">
      <w:pPr>
        <w:pStyle w:val="Prrafodelista"/>
        <w:numPr>
          <w:ilvl w:val="0"/>
          <w:numId w:val="4"/>
        </w:numPr>
        <w:jc w:val="both"/>
        <w:rPr>
          <w:rFonts w:ascii="Ancizar Sans" w:hAnsi="Ancizar Sans"/>
        </w:rPr>
      </w:pPr>
      <w:r w:rsidRPr="00A65AA4">
        <w:rPr>
          <w:rFonts w:ascii="Ancizar Sans" w:hAnsi="Ancizar Sans"/>
        </w:rPr>
        <w:t>Definir principales fuentes de financiación y gasto</w:t>
      </w:r>
    </w:p>
    <w:p w14:paraId="32F42C67" w14:textId="77777777" w:rsidR="00160628" w:rsidRPr="00A65AA4" w:rsidRDefault="00160628" w:rsidP="00160628">
      <w:pPr>
        <w:pStyle w:val="Prrafodelista"/>
        <w:numPr>
          <w:ilvl w:val="0"/>
          <w:numId w:val="4"/>
        </w:numPr>
        <w:jc w:val="both"/>
        <w:rPr>
          <w:rFonts w:ascii="Ancizar Sans" w:hAnsi="Ancizar Sans"/>
        </w:rPr>
      </w:pPr>
      <w:r w:rsidRPr="00A65AA4">
        <w:rPr>
          <w:rFonts w:ascii="Ancizar Sans" w:hAnsi="Ancizar Sans"/>
        </w:rPr>
        <w:t>Distribuir recursos de inversión</w:t>
      </w:r>
    </w:p>
    <w:p w14:paraId="5C5836B8" w14:textId="77777777" w:rsidR="00160628" w:rsidRPr="00A65AA4" w:rsidRDefault="00160628" w:rsidP="00160628">
      <w:pPr>
        <w:pStyle w:val="Prrafodelista"/>
        <w:numPr>
          <w:ilvl w:val="0"/>
          <w:numId w:val="4"/>
        </w:numPr>
        <w:jc w:val="both"/>
        <w:rPr>
          <w:rFonts w:ascii="Ancizar Sans" w:hAnsi="Ancizar Sans"/>
        </w:rPr>
      </w:pPr>
      <w:r w:rsidRPr="00A65AA4">
        <w:rPr>
          <w:rFonts w:ascii="Ancizar Sans" w:hAnsi="Ancizar Sans"/>
        </w:rPr>
        <w:t>Elaborar informe de ejecución presupuestal</w:t>
      </w:r>
    </w:p>
    <w:p w14:paraId="3F381FBD" w14:textId="77777777" w:rsidR="00160628" w:rsidRPr="00A65AA4" w:rsidRDefault="00160628" w:rsidP="00160628">
      <w:pPr>
        <w:pStyle w:val="Prrafodelista"/>
        <w:numPr>
          <w:ilvl w:val="0"/>
          <w:numId w:val="4"/>
        </w:numPr>
        <w:jc w:val="both"/>
        <w:rPr>
          <w:rFonts w:ascii="Ancizar Sans" w:hAnsi="Ancizar Sans"/>
        </w:rPr>
      </w:pPr>
      <w:r w:rsidRPr="00A65AA4">
        <w:rPr>
          <w:rFonts w:ascii="Ancizar Sans" w:hAnsi="Ancizar Sans"/>
        </w:rPr>
        <w:t>Elaborar y remitir la propuesta de incorporación y distribución de los recursos del excedente financiero</w:t>
      </w:r>
    </w:p>
    <w:p w14:paraId="672668E7" w14:textId="77777777" w:rsidR="00160628" w:rsidRPr="00A65AA4" w:rsidRDefault="00160628" w:rsidP="00160628">
      <w:pPr>
        <w:pStyle w:val="Prrafodelista"/>
        <w:numPr>
          <w:ilvl w:val="0"/>
          <w:numId w:val="4"/>
        </w:numPr>
        <w:jc w:val="both"/>
        <w:rPr>
          <w:rFonts w:ascii="Ancizar Sans" w:hAnsi="Ancizar Sans"/>
        </w:rPr>
      </w:pPr>
      <w:r w:rsidRPr="00A65AA4">
        <w:rPr>
          <w:rFonts w:ascii="Ancizar Sans" w:hAnsi="Ancizar Sans"/>
        </w:rPr>
        <w:t>Informar a las sedes el excedente financiero</w:t>
      </w:r>
    </w:p>
    <w:p w14:paraId="47935E8D" w14:textId="77777777" w:rsidR="00160628" w:rsidRPr="00A65AA4" w:rsidRDefault="00160628" w:rsidP="00160628">
      <w:pPr>
        <w:pStyle w:val="Prrafodelista"/>
        <w:numPr>
          <w:ilvl w:val="0"/>
          <w:numId w:val="4"/>
        </w:numPr>
        <w:jc w:val="both"/>
        <w:rPr>
          <w:rFonts w:ascii="Ancizar Sans" w:hAnsi="Ancizar Sans"/>
        </w:rPr>
      </w:pPr>
      <w:r w:rsidRPr="00A65AA4">
        <w:rPr>
          <w:rFonts w:ascii="Ancizar Sans" w:hAnsi="Ancizar Sans"/>
        </w:rPr>
        <w:t>Realizar seguimiento y control al Plan financiero de inversión</w:t>
      </w:r>
    </w:p>
    <w:p w14:paraId="7B9F31FE" w14:textId="77777777" w:rsidR="00160628" w:rsidRPr="00A65AA4" w:rsidRDefault="00160628" w:rsidP="00160628">
      <w:pPr>
        <w:pStyle w:val="Prrafodelista"/>
        <w:numPr>
          <w:ilvl w:val="0"/>
          <w:numId w:val="4"/>
        </w:numPr>
        <w:jc w:val="both"/>
        <w:rPr>
          <w:rFonts w:ascii="Ancizar Sans" w:hAnsi="Ancizar Sans"/>
        </w:rPr>
      </w:pPr>
      <w:r w:rsidRPr="00A65AA4">
        <w:rPr>
          <w:rFonts w:ascii="Ancizar Sans" w:hAnsi="Ancizar Sans"/>
        </w:rPr>
        <w:t>Aprobar evaluación Plan financiero de inversión</w:t>
      </w:r>
    </w:p>
    <w:p w14:paraId="254DD742" w14:textId="77777777" w:rsidR="00160628" w:rsidRPr="00A65AA4" w:rsidRDefault="00160628" w:rsidP="00160628">
      <w:pPr>
        <w:pStyle w:val="Prrafodelista"/>
        <w:numPr>
          <w:ilvl w:val="0"/>
          <w:numId w:val="4"/>
        </w:numPr>
        <w:jc w:val="both"/>
        <w:rPr>
          <w:rFonts w:ascii="Ancizar Sans" w:hAnsi="Ancizar Sans"/>
        </w:rPr>
      </w:pPr>
      <w:r w:rsidRPr="00A65AA4">
        <w:rPr>
          <w:rFonts w:ascii="Ancizar Sans" w:hAnsi="Ancizar Sans"/>
        </w:rPr>
        <w:t>Presentar informe de evaluación de la ejecución del plan financiero de inversión</w:t>
      </w:r>
    </w:p>
    <w:p w14:paraId="7AB511C8" w14:textId="77777777" w:rsidR="00160628" w:rsidRPr="00160628" w:rsidRDefault="00160628" w:rsidP="00160628">
      <w:pPr>
        <w:rPr>
          <w:color w:val="FF0000"/>
          <w:lang w:val="es-MX"/>
        </w:rPr>
      </w:pPr>
    </w:p>
    <w:p w14:paraId="27FC0012" w14:textId="37EB8394" w:rsidR="00160628" w:rsidRPr="00160628" w:rsidRDefault="00160628" w:rsidP="00E90166">
      <w:pPr>
        <w:rPr>
          <w:lang w:val="es-MX"/>
        </w:rPr>
      </w:pPr>
      <w:r w:rsidRPr="00160628">
        <w:rPr>
          <w:b/>
          <w:bCs/>
          <w:lang w:val="es-MX"/>
        </w:rPr>
        <w:t> </w:t>
      </w:r>
    </w:p>
    <w:p w14:paraId="68CCF346" w14:textId="77777777" w:rsidR="0035730E" w:rsidRDefault="0035730E"/>
    <w:sectPr w:rsidR="003573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ncizar Sans">
    <w:panose1 w:val="020B0602040300000003"/>
    <w:charset w:val="00"/>
    <w:family w:val="swiss"/>
    <w:pitch w:val="variable"/>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90301"/>
    <w:multiLevelType w:val="hybridMultilevel"/>
    <w:tmpl w:val="F3ACD57C"/>
    <w:lvl w:ilvl="0" w:tplc="240A0001">
      <w:start w:val="1"/>
      <w:numFmt w:val="bullet"/>
      <w:lvlText w:val=""/>
      <w:lvlJc w:val="left"/>
      <w:pPr>
        <w:ind w:left="720" w:hanging="360"/>
      </w:pPr>
      <w:rPr>
        <w:rFonts w:ascii="Symbol" w:hAnsi="Symbol"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B4A4D97"/>
    <w:multiLevelType w:val="hybridMultilevel"/>
    <w:tmpl w:val="CACEE2AA"/>
    <w:lvl w:ilvl="0" w:tplc="240A0001">
      <w:start w:val="1"/>
      <w:numFmt w:val="bullet"/>
      <w:lvlText w:val=""/>
      <w:lvlJc w:val="left"/>
      <w:pPr>
        <w:ind w:left="720" w:hanging="360"/>
      </w:pPr>
      <w:rPr>
        <w:rFonts w:ascii="Symbol" w:hAnsi="Symbol"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50A0631"/>
    <w:multiLevelType w:val="hybridMultilevel"/>
    <w:tmpl w:val="56CC5B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A742593"/>
    <w:multiLevelType w:val="hybridMultilevel"/>
    <w:tmpl w:val="63A4EA5C"/>
    <w:lvl w:ilvl="0" w:tplc="240A0001">
      <w:start w:val="1"/>
      <w:numFmt w:val="bullet"/>
      <w:lvlText w:val=""/>
      <w:lvlJc w:val="left"/>
      <w:pPr>
        <w:ind w:left="720" w:hanging="360"/>
      </w:pPr>
      <w:rPr>
        <w:rFonts w:ascii="Symbol" w:hAnsi="Symbol"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18D0313"/>
    <w:multiLevelType w:val="hybridMultilevel"/>
    <w:tmpl w:val="26CA56AE"/>
    <w:lvl w:ilvl="0" w:tplc="47AC0730">
      <w:start w:val="1"/>
      <w:numFmt w:val="lowerLetter"/>
      <w:lvlText w:val="%1)"/>
      <w:lvlJc w:val="left"/>
      <w:pPr>
        <w:ind w:left="810" w:hanging="45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47638B6"/>
    <w:multiLevelType w:val="hybridMultilevel"/>
    <w:tmpl w:val="D7FC7D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48983389">
    <w:abstractNumId w:val="3"/>
  </w:num>
  <w:num w:numId="2" w16cid:durableId="786628651">
    <w:abstractNumId w:val="0"/>
  </w:num>
  <w:num w:numId="3" w16cid:durableId="1448310094">
    <w:abstractNumId w:val="1"/>
  </w:num>
  <w:num w:numId="4" w16cid:durableId="527764510">
    <w:abstractNumId w:val="5"/>
  </w:num>
  <w:num w:numId="5" w16cid:durableId="331417740">
    <w:abstractNumId w:val="4"/>
  </w:num>
  <w:num w:numId="6" w16cid:durableId="5552383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628"/>
    <w:rsid w:val="00160628"/>
    <w:rsid w:val="00233D6A"/>
    <w:rsid w:val="0035730E"/>
    <w:rsid w:val="007219C6"/>
    <w:rsid w:val="007624D9"/>
    <w:rsid w:val="00996814"/>
    <w:rsid w:val="00B000EA"/>
    <w:rsid w:val="00CF50A6"/>
    <w:rsid w:val="00E90166"/>
    <w:rsid w:val="00F709BA"/>
    <w:rsid w:val="00FD3F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2FF9E"/>
  <w15:chartTrackingRefBased/>
  <w15:docId w15:val="{F397B834-DE8D-46CF-BC6F-7C1EFB59A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1606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606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6062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6062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6062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6062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6062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6062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6062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0628"/>
    <w:rPr>
      <w:rFonts w:asciiTheme="majorHAnsi" w:eastAsiaTheme="majorEastAsia" w:hAnsiTheme="majorHAnsi" w:cstheme="majorBidi"/>
      <w:color w:val="0F4761" w:themeColor="accent1" w:themeShade="BF"/>
      <w:sz w:val="40"/>
      <w:szCs w:val="40"/>
      <w:lang w:val="es-CO"/>
    </w:rPr>
  </w:style>
  <w:style w:type="character" w:customStyle="1" w:styleId="Ttulo2Car">
    <w:name w:val="Título 2 Car"/>
    <w:basedOn w:val="Fuentedeprrafopredeter"/>
    <w:link w:val="Ttulo2"/>
    <w:uiPriority w:val="9"/>
    <w:semiHidden/>
    <w:rsid w:val="00160628"/>
    <w:rPr>
      <w:rFonts w:asciiTheme="majorHAnsi" w:eastAsiaTheme="majorEastAsia" w:hAnsiTheme="majorHAnsi" w:cstheme="majorBidi"/>
      <w:color w:val="0F4761" w:themeColor="accent1" w:themeShade="BF"/>
      <w:sz w:val="32"/>
      <w:szCs w:val="32"/>
      <w:lang w:val="es-CO"/>
    </w:rPr>
  </w:style>
  <w:style w:type="character" w:customStyle="1" w:styleId="Ttulo3Car">
    <w:name w:val="Título 3 Car"/>
    <w:basedOn w:val="Fuentedeprrafopredeter"/>
    <w:link w:val="Ttulo3"/>
    <w:uiPriority w:val="9"/>
    <w:semiHidden/>
    <w:rsid w:val="00160628"/>
    <w:rPr>
      <w:rFonts w:eastAsiaTheme="majorEastAsia" w:cstheme="majorBidi"/>
      <w:color w:val="0F4761" w:themeColor="accent1" w:themeShade="BF"/>
      <w:sz w:val="28"/>
      <w:szCs w:val="28"/>
      <w:lang w:val="es-CO"/>
    </w:rPr>
  </w:style>
  <w:style w:type="character" w:customStyle="1" w:styleId="Ttulo4Car">
    <w:name w:val="Título 4 Car"/>
    <w:basedOn w:val="Fuentedeprrafopredeter"/>
    <w:link w:val="Ttulo4"/>
    <w:uiPriority w:val="9"/>
    <w:semiHidden/>
    <w:rsid w:val="00160628"/>
    <w:rPr>
      <w:rFonts w:eastAsiaTheme="majorEastAsia" w:cstheme="majorBidi"/>
      <w:i/>
      <w:iCs/>
      <w:color w:val="0F4761" w:themeColor="accent1" w:themeShade="BF"/>
      <w:lang w:val="es-CO"/>
    </w:rPr>
  </w:style>
  <w:style w:type="character" w:customStyle="1" w:styleId="Ttulo5Car">
    <w:name w:val="Título 5 Car"/>
    <w:basedOn w:val="Fuentedeprrafopredeter"/>
    <w:link w:val="Ttulo5"/>
    <w:uiPriority w:val="9"/>
    <w:semiHidden/>
    <w:rsid w:val="00160628"/>
    <w:rPr>
      <w:rFonts w:eastAsiaTheme="majorEastAsia" w:cstheme="majorBidi"/>
      <w:color w:val="0F4761" w:themeColor="accent1" w:themeShade="BF"/>
      <w:lang w:val="es-CO"/>
    </w:rPr>
  </w:style>
  <w:style w:type="character" w:customStyle="1" w:styleId="Ttulo6Car">
    <w:name w:val="Título 6 Car"/>
    <w:basedOn w:val="Fuentedeprrafopredeter"/>
    <w:link w:val="Ttulo6"/>
    <w:uiPriority w:val="9"/>
    <w:semiHidden/>
    <w:rsid w:val="00160628"/>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160628"/>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160628"/>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160628"/>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1606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60628"/>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sid w:val="0016062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60628"/>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160628"/>
    <w:pPr>
      <w:spacing w:before="160"/>
      <w:jc w:val="center"/>
    </w:pPr>
    <w:rPr>
      <w:i/>
      <w:iCs/>
      <w:color w:val="404040" w:themeColor="text1" w:themeTint="BF"/>
    </w:rPr>
  </w:style>
  <w:style w:type="character" w:customStyle="1" w:styleId="CitaCar">
    <w:name w:val="Cita Car"/>
    <w:basedOn w:val="Fuentedeprrafopredeter"/>
    <w:link w:val="Cita"/>
    <w:uiPriority w:val="29"/>
    <w:rsid w:val="00160628"/>
    <w:rPr>
      <w:i/>
      <w:iCs/>
      <w:color w:val="404040" w:themeColor="text1" w:themeTint="BF"/>
      <w:lang w:val="es-CO"/>
    </w:rPr>
  </w:style>
  <w:style w:type="paragraph" w:styleId="Prrafodelista">
    <w:name w:val="List Paragraph"/>
    <w:basedOn w:val="Normal"/>
    <w:uiPriority w:val="34"/>
    <w:qFormat/>
    <w:rsid w:val="00160628"/>
    <w:pPr>
      <w:ind w:left="720"/>
      <w:contextualSpacing/>
    </w:pPr>
  </w:style>
  <w:style w:type="character" w:styleId="nfasisintenso">
    <w:name w:val="Intense Emphasis"/>
    <w:basedOn w:val="Fuentedeprrafopredeter"/>
    <w:uiPriority w:val="21"/>
    <w:qFormat/>
    <w:rsid w:val="00160628"/>
    <w:rPr>
      <w:i/>
      <w:iCs/>
      <w:color w:val="0F4761" w:themeColor="accent1" w:themeShade="BF"/>
    </w:rPr>
  </w:style>
  <w:style w:type="paragraph" w:styleId="Citadestacada">
    <w:name w:val="Intense Quote"/>
    <w:basedOn w:val="Normal"/>
    <w:next w:val="Normal"/>
    <w:link w:val="CitadestacadaCar"/>
    <w:uiPriority w:val="30"/>
    <w:qFormat/>
    <w:rsid w:val="001606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60628"/>
    <w:rPr>
      <w:i/>
      <w:iCs/>
      <w:color w:val="0F4761" w:themeColor="accent1" w:themeShade="BF"/>
      <w:lang w:val="es-CO"/>
    </w:rPr>
  </w:style>
  <w:style w:type="character" w:styleId="Referenciaintensa">
    <w:name w:val="Intense Reference"/>
    <w:basedOn w:val="Fuentedeprrafopredeter"/>
    <w:uiPriority w:val="32"/>
    <w:qFormat/>
    <w:rsid w:val="00160628"/>
    <w:rPr>
      <w:b/>
      <w:bCs/>
      <w:smallCaps/>
      <w:color w:val="0F4761" w:themeColor="accent1" w:themeShade="BF"/>
      <w:spacing w:val="5"/>
    </w:rPr>
  </w:style>
  <w:style w:type="paragraph" w:customStyle="1" w:styleId="m-5237301723058515364m187763532600237910m4706049829525347208gmail-textocarta">
    <w:name w:val="m_-5237301723058515364m_187763532600237910m_4706049829525347208gmail-textocarta"/>
    <w:basedOn w:val="Normal"/>
    <w:rsid w:val="00233D6A"/>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6995317">
      <w:bodyDiv w:val="1"/>
      <w:marLeft w:val="0"/>
      <w:marRight w:val="0"/>
      <w:marTop w:val="0"/>
      <w:marBottom w:val="0"/>
      <w:divBdr>
        <w:top w:val="none" w:sz="0" w:space="0" w:color="auto"/>
        <w:left w:val="none" w:sz="0" w:space="0" w:color="auto"/>
        <w:bottom w:val="none" w:sz="0" w:space="0" w:color="auto"/>
        <w:right w:val="none" w:sz="0" w:space="0" w:color="auto"/>
      </w:divBdr>
    </w:div>
    <w:div w:id="88035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1381</Words>
  <Characters>7596</Characters>
  <Application>Microsoft Office Word</Application>
  <DocSecurity>0</DocSecurity>
  <Lines>63</Lines>
  <Paragraphs>17</Paragraphs>
  <ScaleCrop>false</ScaleCrop>
  <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dc:creator>
  <cp:keywords/>
  <dc:description/>
  <cp:lastModifiedBy>Alberto</cp:lastModifiedBy>
  <cp:revision>5</cp:revision>
  <dcterms:created xsi:type="dcterms:W3CDTF">2024-08-30T19:27:00Z</dcterms:created>
  <dcterms:modified xsi:type="dcterms:W3CDTF">2024-08-30T19:59:00Z</dcterms:modified>
</cp:coreProperties>
</file>