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A6C" w:rsidRPr="00117661" w:rsidRDefault="00192A6C" w:rsidP="00192A6C">
      <w:pPr>
        <w:jc w:val="center"/>
        <w:rPr>
          <w:b/>
          <w:sz w:val="32"/>
          <w:szCs w:val="32"/>
        </w:rPr>
      </w:pPr>
      <w:r w:rsidRPr="00117661">
        <w:rPr>
          <w:b/>
          <w:sz w:val="32"/>
          <w:szCs w:val="32"/>
        </w:rPr>
        <w:t>Análisis descriptivo (gráfico) de puntajes en el Examen Saber PRO por Facultades de la Sede Medellín – Año 2017</w:t>
      </w:r>
    </w:p>
    <w:p w:rsidR="00CE28BE" w:rsidRDefault="00CE28BE">
      <w:pPr>
        <w:rPr>
          <w:b/>
          <w:i/>
        </w:rPr>
      </w:pPr>
    </w:p>
    <w:p w:rsidR="00192A6C" w:rsidRDefault="00192A6C">
      <w:pPr>
        <w:rPr>
          <w:b/>
          <w:i/>
        </w:rPr>
      </w:pPr>
      <w:r w:rsidRPr="00192A6C">
        <w:rPr>
          <w:b/>
          <w:i/>
        </w:rPr>
        <w:t>Consideraciones metodológicas</w:t>
      </w:r>
      <w:r>
        <w:rPr>
          <w:b/>
          <w:i/>
        </w:rPr>
        <w:t>:</w:t>
      </w:r>
    </w:p>
    <w:p w:rsidR="00714205" w:rsidRDefault="00714205" w:rsidP="00714205">
      <w:pPr>
        <w:pStyle w:val="Prrafodelista"/>
        <w:numPr>
          <w:ilvl w:val="0"/>
          <w:numId w:val="1"/>
        </w:numPr>
        <w:jc w:val="both"/>
      </w:pPr>
      <w:r w:rsidRPr="00714205">
        <w:t>El análisis</w:t>
      </w:r>
      <w:r w:rsidR="002560AD">
        <w:t xml:space="preserve"> de las pruebas Saber PRO</w:t>
      </w:r>
      <w:r w:rsidRPr="00714205">
        <w:t xml:space="preserve"> se realizó con base en los resultados obtenidos por los estudiantes evaluados en el año 2017</w:t>
      </w:r>
      <w:r>
        <w:t xml:space="preserve">. Durante </w:t>
      </w:r>
      <w:r w:rsidR="002560AD">
        <w:t>este año</w:t>
      </w:r>
      <w:r>
        <w:t xml:space="preserve"> fueron evaluados </w:t>
      </w:r>
      <w:r w:rsidR="00364576">
        <w:t xml:space="preserve">245.593 </w:t>
      </w:r>
      <w:r>
        <w:t xml:space="preserve">estudiantes a nivel país; de estos, </w:t>
      </w:r>
      <w:r w:rsidR="00364576">
        <w:t>5775</w:t>
      </w:r>
      <w:r>
        <w:t xml:space="preserve"> pertenecían a la Universidad Nacional de Colombia y </w:t>
      </w:r>
      <w:r w:rsidR="002560AD">
        <w:t xml:space="preserve">1152 estaban adscritos </w:t>
      </w:r>
      <w:r>
        <w:t xml:space="preserve"> a la Sede Medellín.</w:t>
      </w:r>
      <w:r w:rsidR="002560AD">
        <w:t xml:space="preserve"> Es decir, el presente análisis se realiza sobre una población de 1152 estudiantes evaluados.</w:t>
      </w:r>
    </w:p>
    <w:p w:rsidR="0041665E" w:rsidRDefault="0041665E" w:rsidP="00714205">
      <w:pPr>
        <w:pStyle w:val="Prrafodelista"/>
        <w:numPr>
          <w:ilvl w:val="0"/>
          <w:numId w:val="1"/>
        </w:numPr>
        <w:jc w:val="both"/>
      </w:pPr>
      <w:r>
        <w:t>En próximos días se espera contar con los resultados obtenidos en las pruebas realizadas durante el año 2018.</w:t>
      </w:r>
    </w:p>
    <w:p w:rsidR="00192A6C" w:rsidRDefault="002560AD" w:rsidP="00192A6C">
      <w:pPr>
        <w:pStyle w:val="Prrafodelista"/>
        <w:numPr>
          <w:ilvl w:val="0"/>
          <w:numId w:val="1"/>
        </w:numPr>
      </w:pPr>
      <w:r>
        <w:t>Como se observa en la siguiente tabla, la Facultad de Minas representa el 62% de los evaluados. Lo anterior implica que, lo que en esta facultad pase, afecta de manera significativa los resultados globales de la Sede.</w:t>
      </w:r>
    </w:p>
    <w:tbl>
      <w:tblPr>
        <w:tblW w:w="6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1740"/>
        <w:gridCol w:w="1480"/>
      </w:tblGrid>
      <w:tr w:rsidR="00173E84" w:rsidRPr="00173E84" w:rsidTr="00173E84">
        <w:trPr>
          <w:trHeight w:val="300"/>
          <w:jc w:val="center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73E84" w:rsidRPr="00173E84" w:rsidRDefault="00173E84" w:rsidP="00173E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73E8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Facultad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73E84" w:rsidRPr="00173E84" w:rsidRDefault="00173E84" w:rsidP="00173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73E8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73E84" w:rsidRPr="00173E84" w:rsidRDefault="00173E84" w:rsidP="00173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173E84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%</w:t>
            </w:r>
          </w:p>
        </w:tc>
      </w:tr>
      <w:tr w:rsidR="00173E84" w:rsidRPr="00173E84" w:rsidTr="00173E84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E84" w:rsidRPr="00173E84" w:rsidRDefault="00173E84" w:rsidP="00173E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73E84">
              <w:rPr>
                <w:rFonts w:ascii="Calibri" w:eastAsia="Times New Roman" w:hAnsi="Calibri" w:cs="Times New Roman"/>
                <w:color w:val="000000"/>
                <w:lang w:eastAsia="es-CO"/>
              </w:rPr>
              <w:t>Arquitectura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E84" w:rsidRPr="00173E84" w:rsidRDefault="00173E84" w:rsidP="00173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73E84">
              <w:rPr>
                <w:rFonts w:ascii="Calibri" w:eastAsia="Times New Roman" w:hAnsi="Calibri" w:cs="Times New Roman"/>
                <w:color w:val="000000"/>
                <w:lang w:eastAsia="es-CO"/>
              </w:rPr>
              <w:t>130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E84" w:rsidRPr="00173E84" w:rsidRDefault="00173E84" w:rsidP="00173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73E84">
              <w:rPr>
                <w:rFonts w:ascii="Calibri" w:eastAsia="Times New Roman" w:hAnsi="Calibri" w:cs="Times New Roman"/>
                <w:color w:val="000000"/>
                <w:lang w:eastAsia="es-CO"/>
              </w:rPr>
              <w:t>11%</w:t>
            </w:r>
          </w:p>
        </w:tc>
      </w:tr>
      <w:tr w:rsidR="00173E84" w:rsidRPr="00173E84" w:rsidTr="00173E84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E84" w:rsidRPr="00173E84" w:rsidRDefault="00173E84" w:rsidP="00173E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73E84">
              <w:rPr>
                <w:rFonts w:ascii="Calibri" w:eastAsia="Times New Roman" w:hAnsi="Calibri" w:cs="Times New Roman"/>
                <w:color w:val="000000"/>
                <w:lang w:eastAsia="es-CO"/>
              </w:rPr>
              <w:t>Ciencias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E84" w:rsidRPr="00173E84" w:rsidRDefault="00173E84" w:rsidP="00173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73E84">
              <w:rPr>
                <w:rFonts w:ascii="Calibri" w:eastAsia="Times New Roman" w:hAnsi="Calibri" w:cs="Times New Roman"/>
                <w:color w:val="000000"/>
                <w:lang w:eastAsia="es-CO"/>
              </w:rPr>
              <w:t>102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E84" w:rsidRPr="00173E84" w:rsidRDefault="00173E84" w:rsidP="00173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73E84">
              <w:rPr>
                <w:rFonts w:ascii="Calibri" w:eastAsia="Times New Roman" w:hAnsi="Calibri" w:cs="Times New Roman"/>
                <w:color w:val="000000"/>
                <w:lang w:eastAsia="es-CO"/>
              </w:rPr>
              <w:t>9%</w:t>
            </w:r>
          </w:p>
        </w:tc>
      </w:tr>
      <w:tr w:rsidR="00173E84" w:rsidRPr="00173E84" w:rsidTr="00173E84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E84" w:rsidRPr="00173E84" w:rsidRDefault="00173E84" w:rsidP="00173E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73E8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Ciencias Agropecuarias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E84" w:rsidRPr="00173E84" w:rsidRDefault="00173E84" w:rsidP="00173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73E84">
              <w:rPr>
                <w:rFonts w:ascii="Calibri" w:eastAsia="Times New Roman" w:hAnsi="Calibri" w:cs="Times New Roman"/>
                <w:color w:val="000000"/>
                <w:lang w:eastAsia="es-CO"/>
              </w:rPr>
              <w:t>117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E84" w:rsidRPr="00173E84" w:rsidRDefault="00173E84" w:rsidP="00173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73E84">
              <w:rPr>
                <w:rFonts w:ascii="Calibri" w:eastAsia="Times New Roman" w:hAnsi="Calibri" w:cs="Times New Roman"/>
                <w:color w:val="000000"/>
                <w:lang w:eastAsia="es-CO"/>
              </w:rPr>
              <w:t>10%</w:t>
            </w:r>
          </w:p>
        </w:tc>
      </w:tr>
      <w:tr w:rsidR="00173E84" w:rsidRPr="00173E84" w:rsidTr="00173E84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E84" w:rsidRPr="00173E84" w:rsidRDefault="00173E84" w:rsidP="00173E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73E84">
              <w:rPr>
                <w:rFonts w:ascii="Calibri" w:eastAsia="Times New Roman" w:hAnsi="Calibri" w:cs="Times New Roman"/>
                <w:color w:val="000000"/>
                <w:lang w:eastAsia="es-CO"/>
              </w:rPr>
              <w:t>Ciencias Humanas y Económicas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E84" w:rsidRPr="00173E84" w:rsidRDefault="00173E84" w:rsidP="00173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73E84">
              <w:rPr>
                <w:rFonts w:ascii="Calibri" w:eastAsia="Times New Roman" w:hAnsi="Calibri" w:cs="Times New Roman"/>
                <w:color w:val="000000"/>
                <w:lang w:eastAsia="es-CO"/>
              </w:rPr>
              <w:t>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E84" w:rsidRPr="00173E84" w:rsidRDefault="00173E84" w:rsidP="00173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73E84">
              <w:rPr>
                <w:rFonts w:ascii="Calibri" w:eastAsia="Times New Roman" w:hAnsi="Calibri" w:cs="Times New Roman"/>
                <w:color w:val="000000"/>
                <w:lang w:eastAsia="es-CO"/>
              </w:rPr>
              <w:t>7%</w:t>
            </w:r>
          </w:p>
        </w:tc>
      </w:tr>
      <w:tr w:rsidR="00173E84" w:rsidRPr="00173E84" w:rsidTr="00173E84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E84" w:rsidRPr="00173E84" w:rsidRDefault="00173E84" w:rsidP="00173E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73E84">
              <w:rPr>
                <w:rFonts w:ascii="Calibri" w:eastAsia="Times New Roman" w:hAnsi="Calibri" w:cs="Times New Roman"/>
                <w:color w:val="000000"/>
                <w:lang w:eastAsia="es-CO"/>
              </w:rPr>
              <w:t>Minas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E84" w:rsidRPr="00173E84" w:rsidRDefault="00173E84" w:rsidP="00173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73E84">
              <w:rPr>
                <w:rFonts w:ascii="Calibri" w:eastAsia="Times New Roman" w:hAnsi="Calibri" w:cs="Times New Roman"/>
                <w:color w:val="000000"/>
                <w:lang w:eastAsia="es-CO"/>
              </w:rPr>
              <w:t>718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E84" w:rsidRPr="00173E84" w:rsidRDefault="00173E84" w:rsidP="00173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73E84">
              <w:rPr>
                <w:rFonts w:ascii="Calibri" w:eastAsia="Times New Roman" w:hAnsi="Calibri" w:cs="Times New Roman"/>
                <w:color w:val="000000"/>
                <w:lang w:eastAsia="es-CO"/>
              </w:rPr>
              <w:t>62%</w:t>
            </w:r>
          </w:p>
        </w:tc>
      </w:tr>
      <w:tr w:rsidR="00173E84" w:rsidRPr="00173E84" w:rsidTr="00173E84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E84" w:rsidRPr="00173E84" w:rsidRDefault="00173E84" w:rsidP="00173E8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73E84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Total Sede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E84" w:rsidRPr="00173E84" w:rsidRDefault="00173E84" w:rsidP="00173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73E84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1152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E84" w:rsidRPr="00173E84" w:rsidRDefault="00173E84" w:rsidP="00173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73E84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100%</w:t>
            </w:r>
          </w:p>
        </w:tc>
      </w:tr>
    </w:tbl>
    <w:p w:rsidR="00364576" w:rsidRDefault="00364576" w:rsidP="00364576"/>
    <w:p w:rsidR="00E4509E" w:rsidRDefault="00CE28BE" w:rsidP="00CE28BE">
      <w:pPr>
        <w:pStyle w:val="Prrafodelista"/>
        <w:numPr>
          <w:ilvl w:val="0"/>
          <w:numId w:val="1"/>
        </w:numPr>
        <w:jc w:val="both"/>
      </w:pPr>
      <w:r>
        <w:t>Las pruebas genéricas evaluadas en el Examen Saber PRO son: razonamiento cuantitativo, lectura crítica, competencias ciudadanas, inglés y comunicación escrita.</w:t>
      </w:r>
      <w:r w:rsidR="0059499F">
        <w:t xml:space="preserve"> El resultado global en este examen equivale al promedio obtenido en estas cinco pruebas.</w:t>
      </w:r>
    </w:p>
    <w:p w:rsidR="0059499F" w:rsidRDefault="0059499F" w:rsidP="00CE28BE">
      <w:pPr>
        <w:pStyle w:val="Prrafodelista"/>
        <w:numPr>
          <w:ilvl w:val="0"/>
          <w:numId w:val="1"/>
        </w:numPr>
        <w:jc w:val="both"/>
      </w:pPr>
      <w:r>
        <w:t>Los resultados en el examen Saber PRO oscilan entre 0 y 300 puntos –rango comprendido entre las líneas azules de las figuras-</w:t>
      </w:r>
    </w:p>
    <w:p w:rsidR="00364576" w:rsidRDefault="00173E84" w:rsidP="00173E84">
      <w:pPr>
        <w:pStyle w:val="Prrafodelista"/>
        <w:numPr>
          <w:ilvl w:val="0"/>
          <w:numId w:val="1"/>
        </w:numPr>
      </w:pPr>
      <w:r>
        <w:t>La distribución de puntajes de manera global</w:t>
      </w:r>
      <w:r w:rsidR="0059499F">
        <w:t xml:space="preserve"> por cada una de las sedes de la Universidad Nacional se encuentra disponible en la siguiente URL: </w:t>
      </w:r>
      <w:r>
        <w:t xml:space="preserve"> </w:t>
      </w:r>
      <w:hyperlink r:id="rId5" w:history="1">
        <w:r w:rsidRPr="008822A8">
          <w:rPr>
            <w:rStyle w:val="Hipervnculo"/>
          </w:rPr>
          <w:t>https://estadisticaun.github.io/TendenciasPGD2018/#115</w:t>
        </w:r>
      </w:hyperlink>
    </w:p>
    <w:p w:rsidR="00173E84" w:rsidRDefault="0059499F" w:rsidP="0059499F">
      <w:pPr>
        <w:pStyle w:val="Prrafodelista"/>
        <w:numPr>
          <w:ilvl w:val="0"/>
          <w:numId w:val="1"/>
        </w:numPr>
        <w:jc w:val="both"/>
      </w:pPr>
      <w:r>
        <w:t xml:space="preserve">La visualización de la distribución de puntajes se presenta haciendo uso de Box </w:t>
      </w:r>
      <w:proofErr w:type="spellStart"/>
      <w:r>
        <w:t>Plots</w:t>
      </w:r>
      <w:proofErr w:type="spellEnd"/>
      <w:r>
        <w:t>. Las líneas horizontales continuas de c</w:t>
      </w:r>
      <w:r w:rsidR="0041665E">
        <w:t xml:space="preserve">olor rojo representan </w:t>
      </w:r>
      <w:r w:rsidR="0041665E" w:rsidRPr="0041665E">
        <w:rPr>
          <w:b/>
          <w:u w:val="single"/>
        </w:rPr>
        <w:t>la mediana</w:t>
      </w:r>
      <w:r>
        <w:t xml:space="preserve"> de puntajes obtenidos por la Sede Medellín; la línea horizontal verde representa </w:t>
      </w:r>
      <w:r w:rsidRPr="0041665E">
        <w:rPr>
          <w:b/>
          <w:u w:val="single"/>
        </w:rPr>
        <w:t>la mediada</w:t>
      </w:r>
      <w:r>
        <w:t xml:space="preserve"> de puntajes obtenidos por los estudiantes de la </w:t>
      </w:r>
      <w:r w:rsidRPr="0041665E">
        <w:rPr>
          <w:b/>
          <w:i/>
          <w:u w:val="single"/>
        </w:rPr>
        <w:t>sede Bogotá</w:t>
      </w:r>
      <w:r>
        <w:t>.</w:t>
      </w:r>
    </w:p>
    <w:p w:rsidR="0059499F" w:rsidRPr="00192A6C" w:rsidRDefault="0059499F" w:rsidP="00105A6F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Al realizar una mirada rápida de las figuras se destaca el comportamiento observado en la prueba de </w:t>
      </w:r>
      <w:r w:rsidRPr="0041665E">
        <w:rPr>
          <w:b/>
        </w:rPr>
        <w:t>razonamiento cuantitativo</w:t>
      </w:r>
      <w:r>
        <w:t xml:space="preserve"> de la Sede Medellín</w:t>
      </w:r>
      <w:r w:rsidR="00A77D7E">
        <w:t xml:space="preserve"> la cual es prácticamente semejante </w:t>
      </w:r>
      <w:r w:rsidR="0041665E">
        <w:t>a comportamiento observado en esta prueba en la S</w:t>
      </w:r>
      <w:r>
        <w:t>ede Bogotá</w:t>
      </w:r>
      <w:r w:rsidR="00105A6F">
        <w:t xml:space="preserve">; en este </w:t>
      </w:r>
      <w:r w:rsidR="0041665E">
        <w:t>resultado</w:t>
      </w:r>
      <w:r w:rsidR="00105A6F">
        <w:t xml:space="preserve"> incide de manera significativa el buen comportamiento de la Facultad de Minas</w:t>
      </w:r>
      <w:r w:rsidR="0041665E">
        <w:t xml:space="preserve"> en dicha prueba</w:t>
      </w:r>
      <w:r w:rsidR="00A77D7E">
        <w:t xml:space="preserve">. En contraste, es preocupante el comportamiento observado en los resultados de los estudiantes de la facultad de </w:t>
      </w:r>
      <w:r w:rsidR="00A77D7E" w:rsidRPr="0041665E">
        <w:rPr>
          <w:b/>
        </w:rPr>
        <w:t>Ciencias Agropecuarias</w:t>
      </w:r>
      <w:r w:rsidR="00A77D7E">
        <w:t xml:space="preserve"> </w:t>
      </w:r>
      <w:r w:rsidR="00105A6F">
        <w:t xml:space="preserve">y en una menor medida el de los estudiantes de </w:t>
      </w:r>
      <w:r w:rsidR="00105A6F" w:rsidRPr="0041665E">
        <w:rPr>
          <w:b/>
        </w:rPr>
        <w:t>Arquitectura y Ciencias Humanas y Económicas</w:t>
      </w:r>
      <w:r w:rsidR="00105A6F">
        <w:t>.</w:t>
      </w:r>
      <w:r>
        <w:t xml:space="preserve"> </w:t>
      </w:r>
    </w:p>
    <w:p w:rsidR="00192A6C" w:rsidRDefault="00192A6C"/>
    <w:p w:rsidR="00192A6C" w:rsidRDefault="00192A6C">
      <w:bookmarkStart w:id="0" w:name="_GoBack"/>
      <w:bookmarkEnd w:id="0"/>
    </w:p>
    <w:p w:rsidR="00192A6C" w:rsidRDefault="00192A6C"/>
    <w:p w:rsidR="00192A6C" w:rsidRDefault="00192A6C"/>
    <w:p w:rsidR="00192A6C" w:rsidRDefault="00192A6C"/>
    <w:p w:rsidR="00DB55F8" w:rsidRDefault="00DB55F8">
      <w:r>
        <w:rPr>
          <w:noProof/>
          <w:lang w:eastAsia="es-CO"/>
        </w:rPr>
        <w:lastRenderedPageBreak/>
        <w:drawing>
          <wp:inline distT="0" distB="0" distL="0" distR="0" wp14:anchorId="559DA305" wp14:editId="5957C873">
            <wp:extent cx="8258810" cy="5048250"/>
            <wp:effectExtent l="19050" t="19050" r="2794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04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55F8" w:rsidRDefault="00364576" w:rsidP="00E4509E">
      <w:pPr>
        <w:spacing w:after="0" w:line="240" w:lineRule="auto"/>
        <w:rPr>
          <w:i/>
        </w:rPr>
      </w:pPr>
      <w:r w:rsidRPr="00364576">
        <w:rPr>
          <w:i/>
        </w:rPr>
        <w:t>Figura 1.</w:t>
      </w:r>
      <w:r w:rsidR="00B726BA">
        <w:rPr>
          <w:i/>
        </w:rPr>
        <w:t xml:space="preserve"> Distribución puntajes promedio Prueba Saber PRO (Global) por facultades Sede Medellín</w:t>
      </w:r>
    </w:p>
    <w:p w:rsidR="00E4509E" w:rsidRPr="00364576" w:rsidRDefault="00E4509E" w:rsidP="00E4509E">
      <w:pPr>
        <w:spacing w:after="0" w:line="240" w:lineRule="auto"/>
        <w:rPr>
          <w:i/>
        </w:rPr>
      </w:pPr>
      <w:r>
        <w:rPr>
          <w:i/>
        </w:rPr>
        <w:t>Fuente: Oficina Nacional de Estadística – Dirección Nacional de Planeación y Estadística</w:t>
      </w:r>
    </w:p>
    <w:p w:rsidR="00DB55F8" w:rsidRDefault="00DB55F8">
      <w:r>
        <w:rPr>
          <w:noProof/>
          <w:lang w:eastAsia="es-CO"/>
        </w:rPr>
        <w:lastRenderedPageBreak/>
        <w:drawing>
          <wp:inline distT="0" distB="0" distL="0" distR="0" wp14:anchorId="20B19C6D" wp14:editId="673751D2">
            <wp:extent cx="8258810" cy="5048250"/>
            <wp:effectExtent l="19050" t="19050" r="2794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04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4576" w:rsidRDefault="00364576" w:rsidP="00E4509E">
      <w:pPr>
        <w:spacing w:after="0" w:line="240" w:lineRule="auto"/>
        <w:rPr>
          <w:i/>
        </w:rPr>
      </w:pPr>
      <w:r w:rsidRPr="00364576">
        <w:rPr>
          <w:i/>
        </w:rPr>
        <w:t xml:space="preserve">Figura 2. </w:t>
      </w:r>
      <w:r w:rsidR="00B726BA">
        <w:rPr>
          <w:i/>
        </w:rPr>
        <w:t xml:space="preserve">Distribución de puntajes en la prueba de </w:t>
      </w:r>
      <w:r w:rsidR="00B726BA">
        <w:rPr>
          <w:i/>
        </w:rPr>
        <w:t>Razonamiento Cuantitativo</w:t>
      </w:r>
      <w:r w:rsidR="00B726BA">
        <w:rPr>
          <w:i/>
        </w:rPr>
        <w:t xml:space="preserve"> por facultades – Sede Medellín</w:t>
      </w:r>
    </w:p>
    <w:p w:rsidR="00E4509E" w:rsidRPr="00364576" w:rsidRDefault="00E4509E" w:rsidP="00E4509E">
      <w:pPr>
        <w:spacing w:after="0" w:line="240" w:lineRule="auto"/>
        <w:rPr>
          <w:i/>
        </w:rPr>
      </w:pPr>
      <w:r>
        <w:rPr>
          <w:i/>
        </w:rPr>
        <w:t>Fuente: Oficina Nacional de Estadística – Dirección Nacional de Planeación y Estadística</w:t>
      </w:r>
    </w:p>
    <w:p w:rsidR="00DB55F8" w:rsidRDefault="00DB55F8">
      <w:r>
        <w:rPr>
          <w:noProof/>
          <w:lang w:eastAsia="es-CO"/>
        </w:rPr>
        <w:lastRenderedPageBreak/>
        <w:drawing>
          <wp:inline distT="0" distB="0" distL="0" distR="0" wp14:anchorId="6448D6C8" wp14:editId="077DC21F">
            <wp:extent cx="8258810" cy="5057775"/>
            <wp:effectExtent l="19050" t="19050" r="27940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05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55F8" w:rsidRDefault="00B726BA" w:rsidP="00E4509E">
      <w:pPr>
        <w:spacing w:after="0" w:line="240" w:lineRule="auto"/>
        <w:rPr>
          <w:i/>
        </w:rPr>
      </w:pPr>
      <w:r>
        <w:rPr>
          <w:i/>
        </w:rPr>
        <w:t xml:space="preserve">Figura 3. </w:t>
      </w:r>
      <w:r>
        <w:rPr>
          <w:i/>
        </w:rPr>
        <w:t xml:space="preserve">Distribución de puntajes en la prueba de </w:t>
      </w:r>
      <w:r>
        <w:rPr>
          <w:i/>
        </w:rPr>
        <w:t>Lectura Crítica</w:t>
      </w:r>
      <w:r>
        <w:rPr>
          <w:i/>
        </w:rPr>
        <w:t xml:space="preserve"> por facultades – Sede Medellín</w:t>
      </w:r>
    </w:p>
    <w:p w:rsidR="00E4509E" w:rsidRPr="00364576" w:rsidRDefault="00E4509E" w:rsidP="00E4509E">
      <w:pPr>
        <w:spacing w:after="0" w:line="240" w:lineRule="auto"/>
        <w:rPr>
          <w:i/>
        </w:rPr>
      </w:pPr>
      <w:r>
        <w:rPr>
          <w:i/>
        </w:rPr>
        <w:t>Fuente: Oficina Nacional de Estadística – Dirección Nacional de Planeación y Estadística</w:t>
      </w:r>
    </w:p>
    <w:p w:rsidR="00DB55F8" w:rsidRDefault="00DB55F8">
      <w:r>
        <w:rPr>
          <w:noProof/>
          <w:lang w:eastAsia="es-CO"/>
        </w:rPr>
        <w:lastRenderedPageBreak/>
        <w:drawing>
          <wp:inline distT="0" distB="0" distL="0" distR="0" wp14:anchorId="424066EF" wp14:editId="029A2AF6">
            <wp:extent cx="8258810" cy="5076825"/>
            <wp:effectExtent l="19050" t="19050" r="27940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07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55F8" w:rsidRDefault="00364576" w:rsidP="00E4509E">
      <w:pPr>
        <w:spacing w:after="0" w:line="240" w:lineRule="auto"/>
        <w:rPr>
          <w:i/>
        </w:rPr>
      </w:pPr>
      <w:r w:rsidRPr="00364576">
        <w:rPr>
          <w:i/>
        </w:rPr>
        <w:t xml:space="preserve">Figura 4. </w:t>
      </w:r>
      <w:r w:rsidR="00B726BA">
        <w:rPr>
          <w:i/>
        </w:rPr>
        <w:t xml:space="preserve">Distribución de puntajes en la prueba de </w:t>
      </w:r>
      <w:r w:rsidRPr="00364576">
        <w:rPr>
          <w:i/>
        </w:rPr>
        <w:t>Competencias Ciudadanas</w:t>
      </w:r>
      <w:r w:rsidR="00B726BA">
        <w:rPr>
          <w:i/>
        </w:rPr>
        <w:t xml:space="preserve"> por facultades – Sede Medellín</w:t>
      </w:r>
    </w:p>
    <w:p w:rsidR="00E4509E" w:rsidRPr="00364576" w:rsidRDefault="00E4509E" w:rsidP="00E4509E">
      <w:pPr>
        <w:spacing w:after="0" w:line="240" w:lineRule="auto"/>
        <w:rPr>
          <w:i/>
        </w:rPr>
      </w:pPr>
      <w:r>
        <w:rPr>
          <w:i/>
        </w:rPr>
        <w:t>Fuente: Oficina Nacional de Estadística – Dirección Nacional de Planeación y Estadística</w:t>
      </w:r>
    </w:p>
    <w:p w:rsidR="00DB55F8" w:rsidRDefault="00DB55F8">
      <w:r>
        <w:rPr>
          <w:noProof/>
          <w:lang w:eastAsia="es-CO"/>
        </w:rPr>
        <w:lastRenderedPageBreak/>
        <w:drawing>
          <wp:inline distT="0" distB="0" distL="0" distR="0" wp14:anchorId="55FE672F" wp14:editId="5C42407A">
            <wp:extent cx="8258810" cy="5029200"/>
            <wp:effectExtent l="19050" t="19050" r="27940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02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55F8" w:rsidRDefault="00B726BA" w:rsidP="00E4509E">
      <w:pPr>
        <w:spacing w:after="0" w:line="240" w:lineRule="auto"/>
        <w:rPr>
          <w:i/>
        </w:rPr>
      </w:pPr>
      <w:r>
        <w:rPr>
          <w:i/>
        </w:rPr>
        <w:t xml:space="preserve">Figura 5. </w:t>
      </w:r>
      <w:r>
        <w:rPr>
          <w:i/>
        </w:rPr>
        <w:t xml:space="preserve">Distribución de puntajes en la prueba de </w:t>
      </w:r>
      <w:r>
        <w:rPr>
          <w:i/>
        </w:rPr>
        <w:t>Inglés</w:t>
      </w:r>
      <w:r>
        <w:rPr>
          <w:i/>
        </w:rPr>
        <w:t xml:space="preserve"> por facultades – Sede Medellín</w:t>
      </w:r>
    </w:p>
    <w:p w:rsidR="00E4509E" w:rsidRPr="00364576" w:rsidRDefault="00E4509E" w:rsidP="00E4509E">
      <w:pPr>
        <w:spacing w:after="0" w:line="240" w:lineRule="auto"/>
        <w:rPr>
          <w:i/>
        </w:rPr>
      </w:pPr>
      <w:r>
        <w:rPr>
          <w:i/>
        </w:rPr>
        <w:t>Fuente: Oficina Nacional de Estadística – Dirección Nacional de Planeación y Estadística</w:t>
      </w:r>
    </w:p>
    <w:p w:rsidR="00DB55F8" w:rsidRDefault="00DB55F8">
      <w:r>
        <w:rPr>
          <w:noProof/>
          <w:lang w:eastAsia="es-CO"/>
        </w:rPr>
        <w:lastRenderedPageBreak/>
        <w:drawing>
          <wp:inline distT="0" distB="0" distL="0" distR="0" wp14:anchorId="2366FB32" wp14:editId="7C44165C">
            <wp:extent cx="8258810" cy="5067300"/>
            <wp:effectExtent l="19050" t="19050" r="27940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06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09E" w:rsidRDefault="00B726BA" w:rsidP="00E4509E">
      <w:pPr>
        <w:spacing w:after="0" w:line="240" w:lineRule="auto"/>
        <w:rPr>
          <w:i/>
        </w:rPr>
      </w:pPr>
      <w:r>
        <w:rPr>
          <w:i/>
        </w:rPr>
        <w:t xml:space="preserve">Figura 5. </w:t>
      </w:r>
      <w:r>
        <w:rPr>
          <w:i/>
        </w:rPr>
        <w:t xml:space="preserve">Distribución de puntajes en la prueba de </w:t>
      </w:r>
      <w:r>
        <w:rPr>
          <w:i/>
        </w:rPr>
        <w:t>Comunicación Escrita</w:t>
      </w:r>
      <w:r>
        <w:rPr>
          <w:i/>
        </w:rPr>
        <w:t xml:space="preserve"> por facultades – Sede Medellín</w:t>
      </w:r>
    </w:p>
    <w:p w:rsidR="00E4509E" w:rsidRPr="00364576" w:rsidRDefault="00E4509E" w:rsidP="00117661">
      <w:pPr>
        <w:spacing w:after="0" w:line="240" w:lineRule="auto"/>
        <w:rPr>
          <w:i/>
        </w:rPr>
      </w:pPr>
      <w:r>
        <w:rPr>
          <w:i/>
        </w:rPr>
        <w:t>Fuente: Oficina Nacional de Estadística – Dirección Nacional de Planeación y Estadística</w:t>
      </w:r>
    </w:p>
    <w:sectPr w:rsidR="00E4509E" w:rsidRPr="00364576" w:rsidSect="00DB55F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51383"/>
    <w:multiLevelType w:val="hybridMultilevel"/>
    <w:tmpl w:val="575CF5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F8"/>
    <w:rsid w:val="00105A6F"/>
    <w:rsid w:val="00117661"/>
    <w:rsid w:val="00173E84"/>
    <w:rsid w:val="00192A6C"/>
    <w:rsid w:val="002560AD"/>
    <w:rsid w:val="00364576"/>
    <w:rsid w:val="0041665E"/>
    <w:rsid w:val="0059499F"/>
    <w:rsid w:val="00714205"/>
    <w:rsid w:val="00A530BE"/>
    <w:rsid w:val="00A77D7E"/>
    <w:rsid w:val="00B726BA"/>
    <w:rsid w:val="00CE28BE"/>
    <w:rsid w:val="00DB55F8"/>
    <w:rsid w:val="00E4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EA769E-C130-4143-B975-8C0745CA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A6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4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73E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stadisticaun.github.io/TendenciasPGD2018/#11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7</cp:revision>
  <dcterms:created xsi:type="dcterms:W3CDTF">2019-02-04T15:25:00Z</dcterms:created>
  <dcterms:modified xsi:type="dcterms:W3CDTF">2019-02-04T16:44:00Z</dcterms:modified>
</cp:coreProperties>
</file>