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sz w:val="46"/>
        </w:rPr>
        <w:t>GOOGLE ADS API TOOL DESIGN</w:t>
      </w:r>
    </w:p>
    <w:p>
      <w:pPr>
        <w:spacing w:after="360"/>
      </w:pPr>
      <w:r>
        <w:rPr>
          <w:rFonts w:ascii="Calibri" w:hAnsi="Calibri"/>
          <w:b w:val="0"/>
          <w:color w:val="5A5A5A"/>
          <w:sz w:val="28"/>
        </w:rPr>
        <w:t>Estandar Leads Offline Conversion Import</w:t>
      </w:r>
    </w:p>
    <w:p>
      <w:pPr>
        <w:spacing w:after="120" w:line="264" w:lineRule="auto"/>
      </w:pPr>
      <w:r>
        <w:rPr>
          <w:rFonts w:ascii="Calibri" w:hAnsi="Calibri"/>
          <w:b/>
          <w:sz w:val="21"/>
        </w:rPr>
        <w:t>Company:</w:t>
      </w:r>
      <w:r>
        <w:rPr>
          <w:rFonts w:ascii="Calibri" w:hAnsi="Calibri"/>
          <w:b w:val="0"/>
          <w:sz w:val="21"/>
        </w:rPr>
        <w:t xml:space="preserve"> Estandar Studio</w:t>
      </w:r>
    </w:p>
    <w:p>
      <w:pPr>
        <w:spacing w:after="120" w:line="264" w:lineRule="auto"/>
      </w:pPr>
      <w:r>
        <w:rPr>
          <w:rFonts w:ascii="Calibri" w:hAnsi="Calibri"/>
          <w:b/>
          <w:sz w:val="21"/>
        </w:rPr>
        <w:t>Website:</w:t>
      </w:r>
      <w:r>
        <w:rPr>
          <w:rFonts w:ascii="Calibri" w:hAnsi="Calibri"/>
          <w:b w:val="0"/>
          <w:sz w:val="21"/>
        </w:rPr>
        <w:t xml:space="preserve"> https://estandar.cl</w:t>
      </w:r>
    </w:p>
    <w:p>
      <w:pPr>
        <w:spacing w:after="120" w:line="264" w:lineRule="auto"/>
      </w:pPr>
      <w:r>
        <w:rPr>
          <w:rFonts w:ascii="Calibri" w:hAnsi="Calibri"/>
          <w:b/>
          <w:sz w:val="21"/>
        </w:rPr>
        <w:t>API contact:</w:t>
      </w:r>
      <w:r>
        <w:rPr>
          <w:rFonts w:ascii="Calibri" w:hAnsi="Calibri"/>
          <w:b w:val="0"/>
          <w:sz w:val="21"/>
        </w:rPr>
        <w:t xml:space="preserve"> gestion@estandar.cl</w:t>
      </w:r>
    </w:p>
    <w:p>
      <w:pPr>
        <w:spacing w:after="120" w:line="264" w:lineRule="auto"/>
      </w:pPr>
      <w:r>
        <w:rPr>
          <w:rFonts w:ascii="Calibri" w:hAnsi="Calibri"/>
          <w:b/>
          <w:sz w:val="21"/>
        </w:rPr>
        <w:t>Manager account:</w:t>
      </w:r>
      <w:r>
        <w:rPr>
          <w:rFonts w:ascii="Calibri" w:hAnsi="Calibri"/>
          <w:b w:val="0"/>
          <w:sz w:val="21"/>
        </w:rPr>
        <w:t xml:space="preserve"> 979-364-5349</w:t>
      </w:r>
    </w:p>
    <w:p>
      <w:pPr>
        <w:spacing w:after="120" w:line="264" w:lineRule="auto"/>
      </w:pPr>
      <w:r>
        <w:rPr>
          <w:rFonts w:ascii="Calibri" w:hAnsi="Calibri"/>
          <w:b/>
          <w:sz w:val="21"/>
        </w:rPr>
        <w:t>Tool users:</w:t>
      </w:r>
      <w:r>
        <w:rPr>
          <w:rFonts w:ascii="Calibri" w:hAnsi="Calibri"/>
          <w:b w:val="0"/>
          <w:sz w:val="21"/>
        </w:rPr>
        <w:t xml:space="preserve"> Internal Estandar Studio operators only</w:t>
      </w:r>
    </w:p>
    <w:p>
      <w:pPr>
        <w:spacing w:before="240" w:after="120"/>
      </w:pPr>
      <w:r>
        <w:rPr>
          <w:rFonts w:ascii="Calibri" w:hAnsi="Calibri"/>
          <w:b/>
          <w:color w:val="2E74B5"/>
          <w:sz w:val="30"/>
        </w:rPr>
        <w:t>1. Purpose</w:t>
      </w:r>
    </w:p>
    <w:p>
      <w:pPr>
        <w:spacing w:after="120" w:line="264" w:lineRule="auto"/>
      </w:pPr>
      <w:r>
        <w:rPr>
          <w:rFonts w:ascii="Calibri" w:hAnsi="Calibri"/>
          <w:b w:val="0"/>
          <w:sz w:val="21"/>
        </w:rPr>
        <w:t>The tool connects WordPress lead-management installations operated by Estandar Studio to the Google Ads API. Its sole API purpose is to upload verified offline conversions for authorized client accounts after a real commercial milestone occurs.</w:t>
      </w:r>
    </w:p>
    <w:p>
      <w:pPr>
        <w:spacing w:after="120" w:line="264" w:lineRule="auto"/>
      </w:pPr>
      <w:r>
        <w:rPr>
          <w:rFonts w:ascii="Calibri" w:hAnsi="Calibri"/>
          <w:b w:val="0"/>
          <w:sz w:val="21"/>
        </w:rPr>
        <w:t>The tool does not create campaigns, alter bids, scrape Google Ads, expose API access to clients, or provide a public self-service interface.</w:t>
      </w:r>
    </w:p>
    <w:p>
      <w:pPr>
        <w:spacing w:before="240" w:after="120"/>
      </w:pPr>
      <w:r>
        <w:rPr>
          <w:rFonts w:ascii="Calibri" w:hAnsi="Calibri"/>
          <w:b/>
          <w:color w:val="2E74B5"/>
          <w:sz w:val="30"/>
        </w:rPr>
        <w:t>2. Business workflow</w:t>
      </w:r>
    </w:p>
    <w:p>
      <w:pPr>
        <w:pStyle w:val="ListBullet"/>
        <w:spacing w:after="60" w:line="264" w:lineRule="auto"/>
        <w:ind w:left="720" w:hanging="360"/>
      </w:pPr>
      <w:r>
        <w:rPr>
          <w:rFonts w:ascii="Calibri" w:hAnsi="Calibri"/>
          <w:b w:val="0"/>
          <w:sz w:val="21"/>
        </w:rPr>
        <w:t>A visitor arrives through an authorized client's Google Ads campaign.</w:t>
      </w:r>
    </w:p>
    <w:p>
      <w:pPr>
        <w:pStyle w:val="ListBullet"/>
        <w:spacing w:after="60" w:line="264" w:lineRule="auto"/>
        <w:ind w:left="720" w:hanging="360"/>
      </w:pPr>
      <w:r>
        <w:rPr>
          <w:rFonts w:ascii="Calibri" w:hAnsi="Calibri"/>
          <w:b w:val="0"/>
          <w:sz w:val="21"/>
        </w:rPr>
        <w:t>The site stores the click identifier and attribution data with the lead record.</w:t>
      </w:r>
    </w:p>
    <w:p>
      <w:pPr>
        <w:pStyle w:val="ListBullet"/>
        <w:spacing w:after="60" w:line="264" w:lineRule="auto"/>
        <w:ind w:left="720" w:hanging="360"/>
      </w:pPr>
      <w:r>
        <w:rPr>
          <w:rFonts w:ascii="Calibri" w:hAnsi="Calibri"/>
          <w:b w:val="0"/>
          <w:sz w:val="21"/>
        </w:rPr>
        <w:t>An authorized operator validates the lead and updates its commercial status.</w:t>
      </w:r>
    </w:p>
    <w:p>
      <w:pPr>
        <w:pStyle w:val="ListBullet"/>
        <w:spacing w:after="60" w:line="264" w:lineRule="auto"/>
        <w:ind w:left="720" w:hanging="360"/>
      </w:pPr>
      <w:r>
        <w:rPr>
          <w:rFonts w:ascii="Calibri" w:hAnsi="Calibri"/>
          <w:b w:val="0"/>
          <w:sz w:val="21"/>
        </w:rPr>
        <w:t>Only configured qualifying statuses create an idempotent offline-conversion queue item.</w:t>
      </w:r>
    </w:p>
    <w:p>
      <w:pPr>
        <w:pStyle w:val="ListBullet"/>
        <w:spacing w:after="60" w:line="264" w:lineRule="auto"/>
        <w:ind w:left="720" w:hanging="360"/>
      </w:pPr>
      <w:r>
        <w:rPr>
          <w:rFonts w:ascii="Calibri" w:hAnsi="Calibri"/>
          <w:b w:val="0"/>
          <w:sz w:val="21"/>
        </w:rPr>
        <w:t>A scheduled worker uploads eligible click conversions to the client's conversion action.</w:t>
      </w:r>
    </w:p>
    <w:p>
      <w:pPr>
        <w:pStyle w:val="ListBullet"/>
        <w:spacing w:after="60" w:line="264" w:lineRule="auto"/>
        <w:ind w:left="720" w:hanging="360"/>
      </w:pPr>
      <w:r>
        <w:rPr>
          <w:rFonts w:ascii="Calibri" w:hAnsi="Calibri"/>
          <w:b w:val="0"/>
          <w:sz w:val="21"/>
        </w:rPr>
        <w:t>The queue records success, retryable failure, or dead-letter status for operational review.</w:t>
      </w:r>
    </w:p>
    <w:p>
      <w:r>
        <w:br w:type="page"/>
      </w:r>
    </w:p>
    <w:p>
      <w:pPr>
        <w:spacing w:before="240" w:after="120"/>
      </w:pPr>
      <w:r>
        <w:rPr>
          <w:rFonts w:ascii="Calibri" w:hAnsi="Calibri"/>
          <w:b/>
          <w:color w:val="2E74B5"/>
          <w:sz w:val="30"/>
        </w:rPr>
        <w:t>3. Architecture and data flow</w:t>
      </w:r>
    </w:p>
    <w:tbl>
      <w:tblPr>
        <w:tblW w:type="auto" w:w="0"/>
        <w:jc w:val="left"/>
        <w:tblLayout w:type="fixed"/>
        <w:tblLook w:firstColumn="1" w:firstRow="1" w:lastColumn="0" w:lastRow="0" w:noHBand="0" w:noVBand="1" w:val="04A0"/>
      </w:tblPr>
      <w:tblGrid>
        <w:gridCol w:w="4680"/>
        <w:gridCol w:w="4680"/>
      </w:tblGrid>
      <w:tr>
        <w:tc>
          <w:tcPr>
            <w:tcW w:type="dxa" w:w="2232"/>
            <w:shd w:fill="F2F4F7"/>
            <w:tcMar>
              <w:top w:w="80" w:type="dxa"/>
              <w:bottom w:w="80" w:type="dxa"/>
              <w:start w:w="120" w:type="dxa"/>
              <w:end w:w="120" w:type="dxa"/>
            </w:tcMar>
            <w:vAlign w:val="center"/>
          </w:tcPr>
          <w:p>
            <w:r>
              <w:rPr>
                <w:rFonts w:ascii="Calibri" w:hAnsi="Calibri"/>
                <w:b/>
                <w:sz w:val="19"/>
              </w:rPr>
              <w:t>Component</w:t>
            </w:r>
          </w:p>
        </w:tc>
        <w:tc>
          <w:tcPr>
            <w:tcW w:type="dxa" w:w="6840"/>
            <w:shd w:fill="F2F4F7"/>
            <w:tcMar>
              <w:top w:w="80" w:type="dxa"/>
              <w:bottom w:w="80" w:type="dxa"/>
              <w:start w:w="120" w:type="dxa"/>
              <w:end w:w="120" w:type="dxa"/>
            </w:tcMar>
            <w:vAlign w:val="center"/>
          </w:tcPr>
          <w:p>
            <w:r>
              <w:rPr>
                <w:rFonts w:ascii="Calibri" w:hAnsi="Calibri"/>
                <w:b/>
                <w:sz w:val="19"/>
              </w:rPr>
              <w:t>Responsibility</w:t>
            </w:r>
          </w:p>
        </w:tc>
      </w:tr>
      <w:tr>
        <w:tc>
          <w:tcPr>
            <w:tcW w:type="dxa" w:w="2232"/>
            <w:tcMar>
              <w:top w:w="80" w:type="dxa"/>
              <w:bottom w:w="80" w:type="dxa"/>
              <w:start w:w="120" w:type="dxa"/>
              <w:end w:w="120" w:type="dxa"/>
            </w:tcMar>
            <w:vAlign w:val="center"/>
          </w:tcPr>
          <w:p>
            <w:r>
              <w:rPr>
                <w:rFonts w:ascii="Calibri" w:hAnsi="Calibri"/>
                <w:b w:val="0"/>
                <w:sz w:val="19"/>
              </w:rPr>
              <w:t>Client website</w:t>
            </w:r>
          </w:p>
        </w:tc>
        <w:tc>
          <w:tcPr>
            <w:tcW w:type="dxa" w:w="6840"/>
            <w:tcMar>
              <w:top w:w="80" w:type="dxa"/>
              <w:bottom w:w="80" w:type="dxa"/>
              <w:start w:w="120" w:type="dxa"/>
              <w:end w:w="120" w:type="dxa"/>
            </w:tcMar>
            <w:vAlign w:val="center"/>
          </w:tcPr>
          <w:p>
            <w:r>
              <w:rPr>
                <w:rFonts w:ascii="Calibri" w:hAnsi="Calibri"/>
                <w:b w:val="0"/>
                <w:sz w:val="19"/>
              </w:rPr>
              <w:t>Captures consented first-party lead and attribution data.</w:t>
            </w:r>
          </w:p>
        </w:tc>
      </w:tr>
      <w:tr>
        <w:tc>
          <w:tcPr>
            <w:tcW w:type="dxa" w:w="2232"/>
            <w:tcMar>
              <w:top w:w="80" w:type="dxa"/>
              <w:bottom w:w="80" w:type="dxa"/>
              <w:start w:w="120" w:type="dxa"/>
              <w:end w:w="120" w:type="dxa"/>
            </w:tcMar>
            <w:vAlign w:val="center"/>
          </w:tcPr>
          <w:p>
            <w:r>
              <w:rPr>
                <w:rFonts w:ascii="Calibri" w:hAnsi="Calibri"/>
                <w:b w:val="0"/>
                <w:sz w:val="19"/>
              </w:rPr>
              <w:t>Estandar Leads</w:t>
            </w:r>
          </w:p>
        </w:tc>
        <w:tc>
          <w:tcPr>
            <w:tcW w:type="dxa" w:w="6840"/>
            <w:tcMar>
              <w:top w:w="80" w:type="dxa"/>
              <w:bottom w:w="80" w:type="dxa"/>
              <w:start w:w="120" w:type="dxa"/>
              <w:end w:w="120" w:type="dxa"/>
            </w:tcMar>
            <w:vAlign w:val="center"/>
          </w:tcPr>
          <w:p>
            <w:r>
              <w:rPr>
                <w:rFonts w:ascii="Calibri" w:hAnsi="Calibri"/>
                <w:b w:val="0"/>
                <w:sz w:val="19"/>
              </w:rPr>
              <w:t>Maintains canonical lead status and validates qualifying milestones.</w:t>
            </w:r>
          </w:p>
        </w:tc>
      </w:tr>
      <w:tr>
        <w:tc>
          <w:tcPr>
            <w:tcW w:type="dxa" w:w="2232"/>
            <w:tcMar>
              <w:top w:w="80" w:type="dxa"/>
              <w:bottom w:w="80" w:type="dxa"/>
              <w:start w:w="120" w:type="dxa"/>
              <w:end w:w="120" w:type="dxa"/>
            </w:tcMar>
            <w:vAlign w:val="center"/>
          </w:tcPr>
          <w:p>
            <w:r>
              <w:rPr>
                <w:rFonts w:ascii="Calibri" w:hAnsi="Calibri"/>
                <w:b w:val="0"/>
                <w:sz w:val="19"/>
              </w:rPr>
              <w:t>OCI queue</w:t>
            </w:r>
          </w:p>
        </w:tc>
        <w:tc>
          <w:tcPr>
            <w:tcW w:type="dxa" w:w="6840"/>
            <w:tcMar>
              <w:top w:w="80" w:type="dxa"/>
              <w:bottom w:w="80" w:type="dxa"/>
              <w:start w:w="120" w:type="dxa"/>
              <w:end w:w="120" w:type="dxa"/>
            </w:tcMar>
            <w:vAlign w:val="center"/>
          </w:tcPr>
          <w:p>
            <w:r>
              <w:rPr>
                <w:rFonts w:ascii="Calibri" w:hAnsi="Calibri"/>
                <w:b w:val="0"/>
                <w:sz w:val="19"/>
              </w:rPr>
              <w:t>Persists idempotent jobs and retry state in the client WordPress database.</w:t>
            </w:r>
          </w:p>
        </w:tc>
      </w:tr>
      <w:tr>
        <w:tc>
          <w:tcPr>
            <w:tcW w:type="dxa" w:w="2232"/>
            <w:tcMar>
              <w:top w:w="80" w:type="dxa"/>
              <w:bottom w:w="80" w:type="dxa"/>
              <w:start w:w="120" w:type="dxa"/>
              <w:end w:w="120" w:type="dxa"/>
            </w:tcMar>
            <w:vAlign w:val="center"/>
          </w:tcPr>
          <w:p>
            <w:r>
              <w:rPr>
                <w:rFonts w:ascii="Calibri" w:hAnsi="Calibri"/>
                <w:b w:val="0"/>
                <w:sz w:val="19"/>
              </w:rPr>
              <w:t>OAuth 2.0</w:t>
            </w:r>
          </w:p>
        </w:tc>
        <w:tc>
          <w:tcPr>
            <w:tcW w:type="dxa" w:w="6840"/>
            <w:tcMar>
              <w:top w:w="80" w:type="dxa"/>
              <w:bottom w:w="80" w:type="dxa"/>
              <w:start w:w="120" w:type="dxa"/>
              <w:end w:w="120" w:type="dxa"/>
            </w:tcMar>
            <w:vAlign w:val="center"/>
          </w:tcPr>
          <w:p>
            <w:r>
              <w:rPr>
                <w:rFonts w:ascii="Calibri" w:hAnsi="Calibri"/>
                <w:b w:val="0"/>
                <w:sz w:val="19"/>
              </w:rPr>
              <w:t>Obtains short-lived access tokens from a securely stored refresh token.</w:t>
            </w:r>
          </w:p>
        </w:tc>
      </w:tr>
      <w:tr>
        <w:tc>
          <w:tcPr>
            <w:tcW w:type="dxa" w:w="2232"/>
            <w:tcMar>
              <w:top w:w="80" w:type="dxa"/>
              <w:bottom w:w="80" w:type="dxa"/>
              <w:start w:w="120" w:type="dxa"/>
              <w:end w:w="120" w:type="dxa"/>
            </w:tcMar>
            <w:vAlign w:val="center"/>
          </w:tcPr>
          <w:p>
            <w:r>
              <w:rPr>
                <w:rFonts w:ascii="Calibri" w:hAnsi="Calibri"/>
                <w:b w:val="0"/>
                <w:sz w:val="19"/>
              </w:rPr>
              <w:t>Google Ads API</w:t>
            </w:r>
          </w:p>
        </w:tc>
        <w:tc>
          <w:tcPr>
            <w:tcW w:type="dxa" w:w="6840"/>
            <w:tcMar>
              <w:top w:w="80" w:type="dxa"/>
              <w:bottom w:w="80" w:type="dxa"/>
              <w:start w:w="120" w:type="dxa"/>
              <w:end w:w="120" w:type="dxa"/>
            </w:tcMar>
            <w:vAlign w:val="center"/>
          </w:tcPr>
          <w:p>
            <w:r>
              <w:rPr>
                <w:rFonts w:ascii="Calibri" w:hAnsi="Calibri"/>
                <w:b w:val="0"/>
                <w:sz w:val="19"/>
              </w:rPr>
              <w:t>Receives click conversion uploads for the authorized customer account.</w:t>
            </w:r>
          </w:p>
        </w:tc>
      </w:tr>
    </w:tbl>
    <w:p>
      <w:pPr>
        <w:spacing w:before="240" w:after="120"/>
      </w:pPr>
      <w:r>
        <w:rPr>
          <w:rFonts w:ascii="Calibri" w:hAnsi="Calibri"/>
          <w:b/>
          <w:color w:val="2E74B5"/>
          <w:sz w:val="30"/>
        </w:rPr>
        <w:t>4. API operation</w:t>
      </w:r>
    </w:p>
    <w:p>
      <w:pPr>
        <w:spacing w:after="120" w:line="264" w:lineRule="auto"/>
      </w:pPr>
      <w:r>
        <w:rPr>
          <w:rFonts w:ascii="Calibri" w:hAnsi="Calibri"/>
          <w:b w:val="0"/>
          <w:sz w:val="21"/>
        </w:rPr>
        <w:t>The integration uses the Google Ads API click-conversion upload service. Each request is scoped to a configured client customer ID and conversion action.</w:t>
      </w:r>
    </w:p>
    <w:tbl>
      <w:tblPr>
        <w:tblW w:type="auto" w:w="0"/>
        <w:jc w:val="left"/>
        <w:tblLayout w:type="fixed"/>
        <w:tblLook w:firstColumn="1" w:firstRow="1" w:lastColumn="0" w:lastRow="0" w:noHBand="0" w:noVBand="1" w:val="04A0"/>
      </w:tblPr>
      <w:tblGrid>
        <w:gridCol w:w="4680"/>
        <w:gridCol w:w="4680"/>
      </w:tblGrid>
      <w:tr>
        <w:tc>
          <w:tcPr>
            <w:tcW w:type="dxa" w:w="2520"/>
            <w:shd w:fill="F2F4F7"/>
            <w:tcMar>
              <w:top w:w="80" w:type="dxa"/>
              <w:bottom w:w="80" w:type="dxa"/>
              <w:start w:w="120" w:type="dxa"/>
              <w:end w:w="120" w:type="dxa"/>
            </w:tcMar>
            <w:vAlign w:val="center"/>
          </w:tcPr>
          <w:p>
            <w:r>
              <w:rPr>
                <w:rFonts w:ascii="Calibri" w:hAnsi="Calibri"/>
                <w:b/>
                <w:sz w:val="19"/>
              </w:rPr>
              <w:t>Field</w:t>
            </w:r>
          </w:p>
        </w:tc>
        <w:tc>
          <w:tcPr>
            <w:tcW w:type="dxa" w:w="6552"/>
            <w:shd w:fill="F2F4F7"/>
            <w:tcMar>
              <w:top w:w="80" w:type="dxa"/>
              <w:bottom w:w="80" w:type="dxa"/>
              <w:start w:w="120" w:type="dxa"/>
              <w:end w:w="120" w:type="dxa"/>
            </w:tcMar>
            <w:vAlign w:val="center"/>
          </w:tcPr>
          <w:p>
            <w:r>
              <w:rPr>
                <w:rFonts w:ascii="Calibri" w:hAnsi="Calibri"/>
                <w:b/>
                <w:sz w:val="19"/>
              </w:rPr>
              <w:t>Source / rule</w:t>
            </w:r>
          </w:p>
        </w:tc>
      </w:tr>
      <w:tr>
        <w:tc>
          <w:tcPr>
            <w:tcW w:type="dxa" w:w="2520"/>
            <w:tcMar>
              <w:top w:w="80" w:type="dxa"/>
              <w:bottom w:w="80" w:type="dxa"/>
              <w:start w:w="120" w:type="dxa"/>
              <w:end w:w="120" w:type="dxa"/>
            </w:tcMar>
            <w:vAlign w:val="center"/>
          </w:tcPr>
          <w:p>
            <w:r>
              <w:rPr>
                <w:rFonts w:ascii="Calibri" w:hAnsi="Calibri"/>
                <w:b w:val="0"/>
                <w:sz w:val="19"/>
              </w:rPr>
              <w:t>gclid</w:t>
            </w:r>
          </w:p>
        </w:tc>
        <w:tc>
          <w:tcPr>
            <w:tcW w:type="dxa" w:w="6552"/>
            <w:tcMar>
              <w:top w:w="80" w:type="dxa"/>
              <w:bottom w:w="80" w:type="dxa"/>
              <w:start w:w="120" w:type="dxa"/>
              <w:end w:w="120" w:type="dxa"/>
            </w:tcMar>
            <w:vAlign w:val="center"/>
          </w:tcPr>
          <w:p>
            <w:r>
              <w:rPr>
                <w:rFonts w:ascii="Calibri" w:hAnsi="Calibri"/>
                <w:b w:val="0"/>
                <w:sz w:val="19"/>
              </w:rPr>
              <w:t>First-party attribution captured from the client's landing session.</w:t>
            </w:r>
          </w:p>
        </w:tc>
      </w:tr>
      <w:tr>
        <w:tc>
          <w:tcPr>
            <w:tcW w:type="dxa" w:w="2520"/>
            <w:tcMar>
              <w:top w:w="80" w:type="dxa"/>
              <w:bottom w:w="80" w:type="dxa"/>
              <w:start w:w="120" w:type="dxa"/>
              <w:end w:w="120" w:type="dxa"/>
            </w:tcMar>
            <w:vAlign w:val="center"/>
          </w:tcPr>
          <w:p>
            <w:r>
              <w:rPr>
                <w:rFonts w:ascii="Calibri" w:hAnsi="Calibri"/>
                <w:b w:val="0"/>
                <w:sz w:val="19"/>
              </w:rPr>
              <w:t>conversion_action</w:t>
            </w:r>
          </w:p>
        </w:tc>
        <w:tc>
          <w:tcPr>
            <w:tcW w:type="dxa" w:w="6552"/>
            <w:tcMar>
              <w:top w:w="80" w:type="dxa"/>
              <w:bottom w:w="80" w:type="dxa"/>
              <w:start w:w="120" w:type="dxa"/>
              <w:end w:w="120" w:type="dxa"/>
            </w:tcMar>
            <w:vAlign w:val="center"/>
          </w:tcPr>
          <w:p>
            <w:r>
              <w:rPr>
                <w:rFonts w:ascii="Calibri" w:hAnsi="Calibri"/>
                <w:b w:val="0"/>
                <w:sz w:val="19"/>
              </w:rPr>
              <w:t>Configured Google Ads conversion action resource.</w:t>
            </w:r>
          </w:p>
        </w:tc>
      </w:tr>
      <w:tr>
        <w:tc>
          <w:tcPr>
            <w:tcW w:type="dxa" w:w="2520"/>
            <w:tcMar>
              <w:top w:w="80" w:type="dxa"/>
              <w:bottom w:w="80" w:type="dxa"/>
              <w:start w:w="120" w:type="dxa"/>
              <w:end w:w="120" w:type="dxa"/>
            </w:tcMar>
            <w:vAlign w:val="center"/>
          </w:tcPr>
          <w:p>
            <w:r>
              <w:rPr>
                <w:rFonts w:ascii="Calibri" w:hAnsi="Calibri"/>
                <w:b w:val="0"/>
                <w:sz w:val="19"/>
              </w:rPr>
              <w:t>conversion_date_time</w:t>
            </w:r>
          </w:p>
        </w:tc>
        <w:tc>
          <w:tcPr>
            <w:tcW w:type="dxa" w:w="6552"/>
            <w:tcMar>
              <w:top w:w="80" w:type="dxa"/>
              <w:bottom w:w="80" w:type="dxa"/>
              <w:start w:w="120" w:type="dxa"/>
              <w:end w:w="120" w:type="dxa"/>
            </w:tcMar>
            <w:vAlign w:val="center"/>
          </w:tcPr>
          <w:p>
            <w:r>
              <w:rPr>
                <w:rFonts w:ascii="Calibri" w:hAnsi="Calibri"/>
                <w:b w:val="0"/>
                <w:sz w:val="19"/>
              </w:rPr>
              <w:t>UTC commercial status-change time with timezone offset.</w:t>
            </w:r>
          </w:p>
        </w:tc>
      </w:tr>
      <w:tr>
        <w:tc>
          <w:tcPr>
            <w:tcW w:type="dxa" w:w="2520"/>
            <w:tcMar>
              <w:top w:w="80" w:type="dxa"/>
              <w:bottom w:w="80" w:type="dxa"/>
              <w:start w:w="120" w:type="dxa"/>
              <w:end w:w="120" w:type="dxa"/>
            </w:tcMar>
            <w:vAlign w:val="center"/>
          </w:tcPr>
          <w:p>
            <w:r>
              <w:rPr>
                <w:rFonts w:ascii="Calibri" w:hAnsi="Calibri"/>
                <w:b w:val="0"/>
                <w:sz w:val="19"/>
              </w:rPr>
              <w:t>conversion_value</w:t>
            </w:r>
          </w:p>
        </w:tc>
        <w:tc>
          <w:tcPr>
            <w:tcW w:type="dxa" w:w="6552"/>
            <w:tcMar>
              <w:top w:w="80" w:type="dxa"/>
              <w:bottom w:w="80" w:type="dxa"/>
              <w:start w:w="120" w:type="dxa"/>
              <w:end w:w="120" w:type="dxa"/>
            </w:tcMar>
            <w:vAlign w:val="center"/>
          </w:tcPr>
          <w:p>
            <w:r>
              <w:rPr>
                <w:rFonts w:ascii="Calibri" w:hAnsi="Calibri"/>
                <w:b w:val="0"/>
                <w:sz w:val="19"/>
              </w:rPr>
              <w:t>Optional configured value; no personal data is transmitted.</w:t>
            </w:r>
          </w:p>
        </w:tc>
      </w:tr>
      <w:tr>
        <w:tc>
          <w:tcPr>
            <w:tcW w:type="dxa" w:w="2520"/>
            <w:tcMar>
              <w:top w:w="80" w:type="dxa"/>
              <w:bottom w:w="80" w:type="dxa"/>
              <w:start w:w="120" w:type="dxa"/>
              <w:end w:w="120" w:type="dxa"/>
            </w:tcMar>
            <w:vAlign w:val="center"/>
          </w:tcPr>
          <w:p>
            <w:r>
              <w:rPr>
                <w:rFonts w:ascii="Calibri" w:hAnsi="Calibri"/>
                <w:b w:val="0"/>
                <w:sz w:val="19"/>
              </w:rPr>
              <w:t>currency_code</w:t>
            </w:r>
          </w:p>
        </w:tc>
        <w:tc>
          <w:tcPr>
            <w:tcW w:type="dxa" w:w="6552"/>
            <w:tcMar>
              <w:top w:w="80" w:type="dxa"/>
              <w:bottom w:w="80" w:type="dxa"/>
              <w:start w:w="120" w:type="dxa"/>
              <w:end w:w="120" w:type="dxa"/>
            </w:tcMar>
            <w:vAlign w:val="center"/>
          </w:tcPr>
          <w:p>
            <w:r>
              <w:rPr>
                <w:rFonts w:ascii="Calibri" w:hAnsi="Calibri"/>
                <w:b w:val="0"/>
                <w:sz w:val="19"/>
              </w:rPr>
              <w:t>Configured ISO currency when a conversion value is used.</w:t>
            </w:r>
          </w:p>
        </w:tc>
      </w:tr>
    </w:tbl>
    <w:p>
      <w:pPr>
        <w:spacing w:before="240" w:after="120"/>
      </w:pPr>
      <w:r>
        <w:rPr>
          <w:rFonts w:ascii="Calibri" w:hAnsi="Calibri"/>
          <w:b/>
          <w:color w:val="2E74B5"/>
          <w:sz w:val="30"/>
        </w:rPr>
        <w:t>5. Qualification rules</w:t>
      </w:r>
    </w:p>
    <w:p>
      <w:pPr>
        <w:spacing w:after="120" w:line="264" w:lineRule="auto"/>
      </w:pPr>
      <w:r>
        <w:rPr>
          <w:rFonts w:ascii="Calibri" w:hAnsi="Calibri"/>
          <w:b w:val="0"/>
          <w:sz w:val="21"/>
        </w:rPr>
        <w:t>A form submission alone is retained as a secondary measurement signal. The primary optimization signal is generated only after human or business-system validation.</w:t>
      </w:r>
    </w:p>
    <w:tbl>
      <w:tblPr>
        <w:tblW w:type="auto" w:w="0"/>
        <w:jc w:val="left"/>
        <w:tblLayout w:type="fixed"/>
        <w:tblLook w:firstColumn="1" w:firstRow="1" w:lastColumn="0" w:lastRow="0" w:noHBand="0" w:noVBand="1" w:val="04A0"/>
      </w:tblPr>
      <w:tblGrid>
        <w:gridCol w:w="4680"/>
        <w:gridCol w:w="4680"/>
      </w:tblGrid>
      <w:tr>
        <w:tc>
          <w:tcPr>
            <w:tcW w:type="dxa" w:w="2952"/>
            <w:shd w:fill="F2F4F7"/>
            <w:tcMar>
              <w:top w:w="80" w:type="dxa"/>
              <w:bottom w:w="80" w:type="dxa"/>
              <w:start w:w="120" w:type="dxa"/>
              <w:end w:w="120" w:type="dxa"/>
            </w:tcMar>
            <w:vAlign w:val="center"/>
          </w:tcPr>
          <w:p>
            <w:r>
              <w:rPr>
                <w:rFonts w:ascii="Calibri" w:hAnsi="Calibri"/>
                <w:b/>
                <w:sz w:val="19"/>
              </w:rPr>
              <w:t>Lead status</w:t>
            </w:r>
          </w:p>
        </w:tc>
        <w:tc>
          <w:tcPr>
            <w:tcW w:type="dxa" w:w="6120"/>
            <w:shd w:fill="F2F4F7"/>
            <w:tcMar>
              <w:top w:w="80" w:type="dxa"/>
              <w:bottom w:w="80" w:type="dxa"/>
              <w:start w:w="120" w:type="dxa"/>
              <w:end w:w="120" w:type="dxa"/>
            </w:tcMar>
            <w:vAlign w:val="center"/>
          </w:tcPr>
          <w:p>
            <w:r>
              <w:rPr>
                <w:rFonts w:ascii="Calibri" w:hAnsi="Calibri"/>
                <w:b/>
                <w:sz w:val="19"/>
              </w:rPr>
              <w:t>Upload behavior</w:t>
            </w:r>
          </w:p>
        </w:tc>
      </w:tr>
      <w:tr>
        <w:tc>
          <w:tcPr>
            <w:tcW w:type="dxa" w:w="2952"/>
            <w:tcMar>
              <w:top w:w="80" w:type="dxa"/>
              <w:bottom w:w="80" w:type="dxa"/>
              <w:start w:w="120" w:type="dxa"/>
              <w:end w:w="120" w:type="dxa"/>
            </w:tcMar>
            <w:vAlign w:val="center"/>
          </w:tcPr>
          <w:p>
            <w:r>
              <w:rPr>
                <w:rFonts w:ascii="Calibri" w:hAnsi="Calibri"/>
                <w:b w:val="0"/>
                <w:sz w:val="19"/>
              </w:rPr>
              <w:t>NEW / CONTACTED</w:t>
            </w:r>
          </w:p>
        </w:tc>
        <w:tc>
          <w:tcPr>
            <w:tcW w:type="dxa" w:w="6120"/>
            <w:tcMar>
              <w:top w:w="80" w:type="dxa"/>
              <w:bottom w:w="80" w:type="dxa"/>
              <w:start w:w="120" w:type="dxa"/>
              <w:end w:w="120" w:type="dxa"/>
            </w:tcMar>
            <w:vAlign w:val="center"/>
          </w:tcPr>
          <w:p>
            <w:r>
              <w:rPr>
                <w:rFonts w:ascii="Calibri" w:hAnsi="Calibri"/>
                <w:b w:val="0"/>
                <w:sz w:val="19"/>
              </w:rPr>
              <w:t>Not uploaded</w:t>
            </w:r>
          </w:p>
        </w:tc>
      </w:tr>
      <w:tr>
        <w:tc>
          <w:tcPr>
            <w:tcW w:type="dxa" w:w="2952"/>
            <w:tcMar>
              <w:top w:w="80" w:type="dxa"/>
              <w:bottom w:w="80" w:type="dxa"/>
              <w:start w:w="120" w:type="dxa"/>
              <w:end w:w="120" w:type="dxa"/>
            </w:tcMar>
            <w:vAlign w:val="center"/>
          </w:tcPr>
          <w:p>
            <w:r>
              <w:rPr>
                <w:rFonts w:ascii="Calibri" w:hAnsi="Calibri"/>
                <w:b w:val="0"/>
                <w:sz w:val="19"/>
              </w:rPr>
              <w:t>QUALIFIED</w:t>
            </w:r>
          </w:p>
        </w:tc>
        <w:tc>
          <w:tcPr>
            <w:tcW w:type="dxa" w:w="6120"/>
            <w:tcMar>
              <w:top w:w="80" w:type="dxa"/>
              <w:bottom w:w="80" w:type="dxa"/>
              <w:start w:w="120" w:type="dxa"/>
              <w:end w:w="120" w:type="dxa"/>
            </w:tcMar>
            <w:vAlign w:val="center"/>
          </w:tcPr>
          <w:p>
            <w:r>
              <w:rPr>
                <w:rFonts w:ascii="Calibri" w:hAnsi="Calibri"/>
                <w:b w:val="0"/>
                <w:sz w:val="19"/>
              </w:rPr>
              <w:t>Uploaded as a validated lead</w:t>
            </w:r>
          </w:p>
        </w:tc>
      </w:tr>
      <w:tr>
        <w:tc>
          <w:tcPr>
            <w:tcW w:type="dxa" w:w="2952"/>
            <w:tcMar>
              <w:top w:w="80" w:type="dxa"/>
              <w:bottom w:w="80" w:type="dxa"/>
              <w:start w:w="120" w:type="dxa"/>
              <w:end w:w="120" w:type="dxa"/>
            </w:tcMar>
            <w:vAlign w:val="center"/>
          </w:tcPr>
          <w:p>
            <w:r>
              <w:rPr>
                <w:rFonts w:ascii="Calibri" w:hAnsi="Calibri"/>
                <w:b w:val="0"/>
                <w:sz w:val="19"/>
              </w:rPr>
              <w:t>MEETING_BOOKED</w:t>
            </w:r>
          </w:p>
        </w:tc>
        <w:tc>
          <w:tcPr>
            <w:tcW w:type="dxa" w:w="6120"/>
            <w:tcMar>
              <w:top w:w="80" w:type="dxa"/>
              <w:bottom w:w="80" w:type="dxa"/>
              <w:start w:w="120" w:type="dxa"/>
              <w:end w:w="120" w:type="dxa"/>
            </w:tcMar>
            <w:vAlign w:val="center"/>
          </w:tcPr>
          <w:p>
            <w:r>
              <w:rPr>
                <w:rFonts w:ascii="Calibri" w:hAnsi="Calibri"/>
                <w:b w:val="0"/>
                <w:sz w:val="19"/>
              </w:rPr>
              <w:t>Uploaded as validated commercial intent</w:t>
            </w:r>
          </w:p>
        </w:tc>
      </w:tr>
      <w:tr>
        <w:tc>
          <w:tcPr>
            <w:tcW w:type="dxa" w:w="2952"/>
            <w:tcMar>
              <w:top w:w="80" w:type="dxa"/>
              <w:bottom w:w="80" w:type="dxa"/>
              <w:start w:w="120" w:type="dxa"/>
              <w:end w:w="120" w:type="dxa"/>
            </w:tcMar>
            <w:vAlign w:val="center"/>
          </w:tcPr>
          <w:p>
            <w:r>
              <w:rPr>
                <w:rFonts w:ascii="Calibri" w:hAnsi="Calibri"/>
                <w:b w:val="0"/>
                <w:sz w:val="19"/>
              </w:rPr>
              <w:t>CONVERTED</w:t>
            </w:r>
          </w:p>
        </w:tc>
        <w:tc>
          <w:tcPr>
            <w:tcW w:type="dxa" w:w="6120"/>
            <w:tcMar>
              <w:top w:w="80" w:type="dxa"/>
              <w:bottom w:w="80" w:type="dxa"/>
              <w:start w:w="120" w:type="dxa"/>
              <w:end w:w="120" w:type="dxa"/>
            </w:tcMar>
            <w:vAlign w:val="center"/>
          </w:tcPr>
          <w:p>
            <w:r>
              <w:rPr>
                <w:rFonts w:ascii="Calibri" w:hAnsi="Calibri"/>
                <w:b w:val="0"/>
                <w:sz w:val="19"/>
              </w:rPr>
              <w:t>Uploaded as a won customer</w:t>
            </w:r>
          </w:p>
        </w:tc>
      </w:tr>
      <w:tr>
        <w:tc>
          <w:tcPr>
            <w:tcW w:type="dxa" w:w="2952"/>
            <w:tcMar>
              <w:top w:w="80" w:type="dxa"/>
              <w:bottom w:w="80" w:type="dxa"/>
              <w:start w:w="120" w:type="dxa"/>
              <w:end w:w="120" w:type="dxa"/>
            </w:tcMar>
            <w:vAlign w:val="center"/>
          </w:tcPr>
          <w:p>
            <w:r>
              <w:rPr>
                <w:rFonts w:ascii="Calibri" w:hAnsi="Calibri"/>
                <w:b w:val="0"/>
                <w:sz w:val="19"/>
              </w:rPr>
              <w:t>Invalid, junk, spam, education</w:t>
            </w:r>
          </w:p>
        </w:tc>
        <w:tc>
          <w:tcPr>
            <w:tcW w:type="dxa" w:w="6120"/>
            <w:tcMar>
              <w:top w:w="80" w:type="dxa"/>
              <w:bottom w:w="80" w:type="dxa"/>
              <w:start w:w="120" w:type="dxa"/>
              <w:end w:w="120" w:type="dxa"/>
            </w:tcMar>
            <w:vAlign w:val="center"/>
          </w:tcPr>
          <w:p>
            <w:r>
              <w:rPr>
                <w:rFonts w:ascii="Calibri" w:hAnsi="Calibri"/>
                <w:b w:val="0"/>
                <w:sz w:val="19"/>
              </w:rPr>
              <w:t>Not uploaded</w:t>
            </w:r>
          </w:p>
        </w:tc>
      </w:tr>
    </w:tbl>
    <w:p>
      <w:pPr>
        <w:spacing w:before="240" w:after="120"/>
      </w:pPr>
      <w:r>
        <w:rPr>
          <w:rFonts w:ascii="Calibri" w:hAnsi="Calibri"/>
          <w:b/>
          <w:color w:val="2E74B5"/>
          <w:sz w:val="30"/>
        </w:rPr>
        <w:t>6. Authentication and access control</w:t>
      </w:r>
    </w:p>
    <w:p>
      <w:pPr>
        <w:pStyle w:val="ListBullet"/>
        <w:spacing w:after="60" w:line="264" w:lineRule="auto"/>
        <w:ind w:left="720" w:hanging="360"/>
      </w:pPr>
      <w:r>
        <w:rPr>
          <w:rFonts w:ascii="Calibri" w:hAnsi="Calibri"/>
          <w:b w:val="0"/>
          <w:sz w:val="21"/>
        </w:rPr>
        <w:t>Google OAuth 2.0 is used with a client ID, client secret, and refresh token.</w:t>
      </w:r>
    </w:p>
    <w:p>
      <w:pPr>
        <w:pStyle w:val="ListBullet"/>
        <w:spacing w:after="60" w:line="264" w:lineRule="auto"/>
        <w:ind w:left="720" w:hanging="360"/>
      </w:pPr>
      <w:r>
        <w:rPr>
          <w:rFonts w:ascii="Calibri" w:hAnsi="Calibri"/>
          <w:b w:val="0"/>
          <w:sz w:val="21"/>
        </w:rPr>
        <w:t>Credentials are stored in protected WordPress options and are never returned to public pages.</w:t>
      </w:r>
    </w:p>
    <w:p>
      <w:pPr>
        <w:pStyle w:val="ListBullet"/>
        <w:spacing w:after="60" w:line="264" w:lineRule="auto"/>
        <w:ind w:left="720" w:hanging="360"/>
      </w:pPr>
      <w:r>
        <w:rPr>
          <w:rFonts w:ascii="Calibri" w:hAnsi="Calibri"/>
          <w:b w:val="0"/>
          <w:sz w:val="21"/>
        </w:rPr>
        <w:t>Only authenticated WordPress administrators can view or change integration settings.</w:t>
      </w:r>
    </w:p>
    <w:p>
      <w:pPr>
        <w:pStyle w:val="ListBullet"/>
        <w:spacing w:after="60" w:line="264" w:lineRule="auto"/>
        <w:ind w:left="720" w:hanging="360"/>
      </w:pPr>
      <w:r>
        <w:rPr>
          <w:rFonts w:ascii="Calibri" w:hAnsi="Calibri"/>
          <w:b w:val="0"/>
          <w:sz w:val="21"/>
        </w:rPr>
        <w:t>The Google Ads developer token belongs to the manager account; client customer IDs are explicitly configured.</w:t>
      </w:r>
    </w:p>
    <w:p>
      <w:pPr>
        <w:pStyle w:val="ListBullet"/>
        <w:spacing w:after="60" w:line="264" w:lineRule="auto"/>
        <w:ind w:left="720" w:hanging="360"/>
      </w:pPr>
      <w:r>
        <w:rPr>
          <w:rFonts w:ascii="Calibri" w:hAnsi="Calibri"/>
          <w:b w:val="0"/>
          <w:sz w:val="21"/>
        </w:rPr>
        <w:t>The tool is used only by Estandar Studio employees or authorized contractors.</w:t>
      </w:r>
    </w:p>
    <w:p>
      <w:pPr>
        <w:spacing w:before="240" w:after="120"/>
      </w:pPr>
      <w:r>
        <w:rPr>
          <w:rFonts w:ascii="Calibri" w:hAnsi="Calibri"/>
          <w:b/>
          <w:color w:val="2E74B5"/>
          <w:sz w:val="30"/>
        </w:rPr>
        <w:t>7. Reliability controls</w:t>
      </w:r>
    </w:p>
    <w:p>
      <w:pPr>
        <w:pStyle w:val="ListBullet"/>
        <w:spacing w:after="60" w:line="264" w:lineRule="auto"/>
        <w:ind w:left="720" w:hanging="360"/>
      </w:pPr>
      <w:r>
        <w:rPr>
          <w:rFonts w:ascii="Calibri" w:hAnsi="Calibri"/>
          <w:b w:val="0"/>
          <w:sz w:val="21"/>
        </w:rPr>
        <w:t>Unique lead/status keys prevent duplicate queue creation.</w:t>
      </w:r>
    </w:p>
    <w:p>
      <w:pPr>
        <w:pStyle w:val="ListBullet"/>
        <w:spacing w:after="60" w:line="264" w:lineRule="auto"/>
        <w:ind w:left="720" w:hanging="360"/>
      </w:pPr>
      <w:r>
        <w:rPr>
          <w:rFonts w:ascii="Calibri" w:hAnsi="Calibri"/>
          <w:b w:val="0"/>
          <w:sz w:val="21"/>
        </w:rPr>
        <w:t>The worker processes a bounded batch of up to 20 records per scheduled run.</w:t>
      </w:r>
    </w:p>
    <w:p>
      <w:pPr>
        <w:pStyle w:val="ListBullet"/>
        <w:spacing w:after="60" w:line="264" w:lineRule="auto"/>
        <w:ind w:left="720" w:hanging="360"/>
      </w:pPr>
      <w:r>
        <w:rPr>
          <w:rFonts w:ascii="Calibri" w:hAnsi="Calibri"/>
          <w:b w:val="0"/>
          <w:sz w:val="21"/>
        </w:rPr>
        <w:t>Failed uploads retry at most three times with a minimum one-hour delay.</w:t>
      </w:r>
    </w:p>
    <w:p>
      <w:pPr>
        <w:pStyle w:val="ListBullet"/>
        <w:spacing w:after="60" w:line="264" w:lineRule="auto"/>
        <w:ind w:left="720" w:hanging="360"/>
      </w:pPr>
      <w:r>
        <w:rPr>
          <w:rFonts w:ascii="Calibri" w:hAnsi="Calibri"/>
          <w:b w:val="0"/>
          <w:sz w:val="21"/>
        </w:rPr>
        <w:t>Exhausted records remain in a dead-letter state for inspection.</w:t>
      </w:r>
    </w:p>
    <w:p>
      <w:pPr>
        <w:pStyle w:val="ListBullet"/>
        <w:spacing w:after="60" w:line="264" w:lineRule="auto"/>
        <w:ind w:left="720" w:hanging="360"/>
      </w:pPr>
      <w:r>
        <w:rPr>
          <w:rFonts w:ascii="Calibri" w:hAnsi="Calibri"/>
          <w:b w:val="0"/>
          <w:sz w:val="21"/>
        </w:rPr>
        <w:t>Test mode logs payload preparation without calling the Google Ads API.</w:t>
      </w:r>
    </w:p>
    <w:p>
      <w:pPr>
        <w:spacing w:before="240" w:after="120"/>
      </w:pPr>
      <w:r>
        <w:rPr>
          <w:rFonts w:ascii="Calibri" w:hAnsi="Calibri"/>
          <w:b/>
          <w:color w:val="2E74B5"/>
          <w:sz w:val="30"/>
        </w:rPr>
        <w:t>8. Privacy and policy controls</w:t>
      </w:r>
    </w:p>
    <w:p>
      <w:pPr>
        <w:pStyle w:val="ListBullet"/>
        <w:spacing w:after="60" w:line="264" w:lineRule="auto"/>
        <w:ind w:left="720" w:hanging="360"/>
      </w:pPr>
      <w:r>
        <w:rPr>
          <w:rFonts w:ascii="Calibri" w:hAnsi="Calibri"/>
          <w:b w:val="0"/>
          <w:sz w:val="21"/>
        </w:rPr>
        <w:t>Only click identifiers and conversion metadata required by Google Ads are uploaded.</w:t>
      </w:r>
    </w:p>
    <w:p>
      <w:pPr>
        <w:pStyle w:val="ListBullet"/>
        <w:spacing w:after="60" w:line="264" w:lineRule="auto"/>
        <w:ind w:left="720" w:hanging="360"/>
      </w:pPr>
      <w:r>
        <w:rPr>
          <w:rFonts w:ascii="Calibri" w:hAnsi="Calibri"/>
          <w:b w:val="0"/>
          <w:sz w:val="21"/>
        </w:rPr>
        <w:t>Names, email addresses, phone numbers, messages, and tax/accounting information are not sent.</w:t>
      </w:r>
    </w:p>
    <w:p>
      <w:pPr>
        <w:pStyle w:val="ListBullet"/>
        <w:spacing w:after="60" w:line="264" w:lineRule="auto"/>
        <w:ind w:left="720" w:hanging="360"/>
      </w:pPr>
      <w:r>
        <w:rPr>
          <w:rFonts w:ascii="Calibri" w:hAnsi="Calibri"/>
          <w:b w:val="0"/>
          <w:sz w:val="21"/>
        </w:rPr>
        <w:t>Uploads occur only for client accounts contractually authorized to use the integration.</w:t>
      </w:r>
    </w:p>
    <w:p>
      <w:pPr>
        <w:pStyle w:val="ListBullet"/>
        <w:spacing w:after="60" w:line="264" w:lineRule="auto"/>
        <w:ind w:left="720" w:hanging="360"/>
      </w:pPr>
      <w:r>
        <w:rPr>
          <w:rFonts w:ascii="Calibri" w:hAnsi="Calibri"/>
          <w:b w:val="0"/>
          <w:sz w:val="21"/>
        </w:rPr>
        <w:t>Client-site consent and privacy notices govern first-party attribution capture.</w:t>
      </w:r>
    </w:p>
    <w:p>
      <w:pPr>
        <w:pStyle w:val="ListBullet"/>
        <w:spacing w:after="60" w:line="264" w:lineRule="auto"/>
        <w:ind w:left="720" w:hanging="360"/>
      </w:pPr>
      <w:r>
        <w:rPr>
          <w:rFonts w:ascii="Calibri" w:hAnsi="Calibri"/>
          <w:b w:val="0"/>
          <w:sz w:val="21"/>
        </w:rPr>
        <w:t>Data is retained within each client's WordPress database according to the client's retention policy.</w:t>
      </w:r>
    </w:p>
    <w:p>
      <w:pPr>
        <w:spacing w:before="240" w:after="120"/>
      </w:pPr>
      <w:r>
        <w:rPr>
          <w:rFonts w:ascii="Calibri" w:hAnsi="Calibri"/>
          <w:b/>
          <w:color w:val="2E74B5"/>
          <w:sz w:val="30"/>
        </w:rPr>
        <w:t>9. Deployment scope</w:t>
      </w:r>
    </w:p>
    <w:p>
      <w:pPr>
        <w:spacing w:after="120" w:line="264" w:lineRule="auto"/>
      </w:pPr>
      <w:r>
        <w:rPr>
          <w:rFonts w:ascii="Calibri" w:hAnsi="Calibri"/>
          <w:b w:val="0"/>
          <w:sz w:val="21"/>
        </w:rPr>
        <w:t>Initial deployment is for AK Contadores and subsequent Estandar Studio clients that explicitly authorize the integration. Every installation has separate credentials, customer ID, conversion action, queue, and audit history. There is no cross-client lead database.</w:t>
      </w:r>
    </w:p>
    <w:p>
      <w:pPr>
        <w:spacing w:before="240" w:after="120"/>
      </w:pPr>
      <w:r>
        <w:rPr>
          <w:rFonts w:ascii="Calibri" w:hAnsi="Calibri"/>
          <w:b/>
          <w:color w:val="2E74B5"/>
          <w:sz w:val="30"/>
        </w:rPr>
        <w:t>10. Support</w:t>
      </w:r>
    </w:p>
    <w:p>
      <w:pPr>
        <w:spacing w:after="120" w:line="264" w:lineRule="auto"/>
      </w:pPr>
      <w:r>
        <w:rPr>
          <w:rFonts w:ascii="Calibri" w:hAnsi="Calibri"/>
          <w:b w:val="0"/>
          <w:sz w:val="21"/>
        </w:rPr>
        <w:t>Operational and API notices: gestion@estandar.cl</w:t>
      </w:r>
    </w:p>
    <w:sectPr w:rsidR="00FC693F" w:rsidRPr="0006063C" w:rsidSect="00034616">
      <w:headerReference w:type="default" r:id="rId9"/>
      <w:footerReference w:type="default" r:id="rId10"/>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A5A5A"/>
        <w:sz w:val="18"/>
      </w:rPr>
      <w:t>Confidential technical design | June 11,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color w:val="5A5A5A"/>
        <w:sz w:val="18"/>
      </w:rPr>
      <w:t>Estandar Studio | Google Ads API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