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Benford’s</w:t>
      </w:r>
      <w:r>
        <w:t xml:space="preserve"> </w:t>
      </w:r>
      <w:r>
        <w:t xml:space="preserve">Project</w:t>
      </w:r>
    </w:p>
    <w:p>
      <w:pPr>
        <w:pStyle w:val="Subtitle"/>
      </w:pPr>
      <w:r>
        <w:t xml:space="preserve">Figs</w:t>
      </w:r>
      <w:r>
        <w:t xml:space="preserve"> </w:t>
      </w:r>
      <w:r>
        <w:t xml:space="preserve">5,6,8,9,10:</w:t>
      </w:r>
      <w:r>
        <w:t xml:space="preserve"> </w:t>
      </w:r>
      <w:r>
        <w:t xml:space="preserve">Summary</w:t>
      </w:r>
      <w:r>
        <w:t xml:space="preserve"> </w:t>
      </w:r>
      <w:r>
        <w:t xml:space="preserve">Charts</w:t>
      </w:r>
    </w:p>
    <w:p>
      <w:pPr>
        <w:pStyle w:val="Author"/>
      </w:pPr>
      <w:r>
        <w:t xml:space="preserve">Edward</w:t>
      </w:r>
      <w:r>
        <w:t xml:space="preserve"> </w:t>
      </w:r>
      <w:r>
        <w:t xml:space="preserve">Stansfeld</w:t>
      </w:r>
    </w:p>
    <w:p>
      <w:pPr>
        <w:pStyle w:val="Date"/>
      </w:pPr>
      <w:r>
        <w:t xml:space="preserve">January</w:t>
      </w:r>
      <w:r>
        <w:t xml:space="preserve"> </w:t>
      </w:r>
      <w:r>
        <w:t xml:space="preserve">2022</w:t>
      </w:r>
    </w:p>
    <w:bookmarkStart w:id="20" w:name="introduction"/>
    <w:p>
      <w:pPr>
        <w:pStyle w:val="Heading2"/>
      </w:pPr>
      <w:r>
        <w:t xml:space="preserve">Introduction</w:t>
      </w:r>
    </w:p>
    <w:p>
      <w:pPr>
        <w:pStyle w:val="FirstParagraph"/>
      </w:pPr>
      <w:r>
        <w:t xml:space="preserve">After the suitability of the data for Benford’s tests is established, Nigrini suggests that first and second digit tests should be run to provide an overview, and if there are more than about 300 records, the first two digits test should be used for the actual analysis (while allowing for more deviation from the expected values). The R benfords.analysis package (Cinelli 2019) contains a suite of fast Benfords tests and some statistical analysis, and is based on the approach of Nigrini 2012. This algorithm was applied to the daily case data and the daily death data and its results are shown in Appendix 1. The algorithm was supplemented with additional functions to extract and plot the second digit and calculate statistics.</w:t>
      </w:r>
    </w:p>
    <w:bookmarkEnd w:id="20"/>
    <w:bookmarkStart w:id="23" w:name="results"/>
    <w:p>
      <w:pPr>
        <w:pStyle w:val="Heading2"/>
      </w:pPr>
      <w:r>
        <w:t xml:space="preserve">Results</w:t>
      </w:r>
    </w:p>
    <w:bookmarkStart w:id="22" w:name="does-the-data-follow-benfords-law"/>
    <w:p>
      <w:pPr>
        <w:pStyle w:val="Heading3"/>
      </w:pPr>
      <w:r>
        <w:t xml:space="preserve">Does the data follow Benford’s Law?</w:t>
      </w:r>
    </w:p>
    <w:p>
      <w:pPr>
        <w:pStyle w:val="FirstParagraph"/>
      </w:pPr>
      <w:r>
        <w:t xml:space="preserve">The Benford’s plots for the first, second and first-two digits are shown below. Removing records below 10 affected the mantissa curve and it is expected there will be a similar effect here. Similarly, the deaths data are not expected to behave in the classic manner due to its restricted range.</w:t>
      </w:r>
    </w:p>
    <w:p>
      <w:pPr>
        <w:pStyle w:val="BodyText"/>
      </w:pPr>
      <w:r>
        <w:drawing>
          <wp:inline>
            <wp:extent cx="5334000" cy="6400800"/>
            <wp:effectExtent b="0" l="0" r="0" t="0"/>
            <wp:docPr descr="" title="" id="1" name="Picture"/>
            <a:graphic>
              <a:graphicData uri="http://schemas.openxmlformats.org/drawingml/2006/picture">
                <pic:pic>
                  <pic:nvPicPr>
                    <pic:cNvPr descr="4.-Aggregated_Plots_files/figure-docx/basic_benfords_plot-1.png" id="0" name="Picture"/>
                    <pic:cNvPicPr>
                      <a:picLocks noChangeArrowheads="1" noChangeAspect="1"/>
                    </pic:cNvPicPr>
                  </pic:nvPicPr>
                  <pic:blipFill>
                    <a:blip r:embed="rId21"/>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t xml:space="preserve">The plots show marked Benford’s-like behaviour, with steep frequency curves descending from the lowest digit to the highest. The deaths curves have steeper descents with a higher ratio of 1’s than the classical Benford’s distribution. This is known as</w:t>
      </w:r>
      <w:r>
        <w:t xml:space="preserve"> </w:t>
      </w:r>
      <w:r>
        <w:t xml:space="preserve">“</w:t>
      </w:r>
      <w:r>
        <w:t xml:space="preserve">Benford’s extreme</w:t>
      </w:r>
      <w:r>
        <w:t xml:space="preserve">”</w:t>
      </w:r>
      <w:r>
        <w:t xml:space="preserve"> </w:t>
      </w:r>
      <w:r>
        <w:t xml:space="preserve">and is associated with a limited range of orders of magnitude.</w:t>
      </w:r>
    </w:p>
    <w:bookmarkEnd w:id="22"/>
    <w:bookmarkEnd w:id="23"/>
    <w:bookmarkStart w:id="24" w:name="summary-statistics"/>
    <w:p>
      <w:pPr>
        <w:pStyle w:val="Heading2"/>
      </w:pPr>
      <w:r>
        <w:t xml:space="preserve">Summary statistics</w:t>
      </w:r>
    </w:p>
    <w:p>
      <w:pPr>
        <w:pStyle w:val="SourceCode"/>
      </w:pPr>
      <w:r>
        <w:rPr>
          <w:rStyle w:val="VerbatimChar"/>
        </w:rPr>
        <w:t xml:space="preserve">## Warning: package 'knitr' was built under R version 4.1.2</w:t>
      </w:r>
    </w:p>
    <w:p>
      <w:pPr>
        <w:pStyle w:val="TableCaption"/>
      </w:pPr>
      <w:r>
        <w:t xml:space="preserve">STATISTICAL SUMMARY FOR SCOTLAND AND INDIA AGGREGATE DATA</w:t>
      </w:r>
    </w:p>
    <w:tbl>
      <w:tblPr>
        <w:tblStyle w:val="Table"/>
        <w:tblW w:type="pct" w:w="0.0"/>
        <w:tblLook w:firstRow="1" w:lastRow="0" w:firstColumn="0" w:lastColumn="0" w:noHBand="0" w:noVBand="0" w:val="0020"/>
        <w:tblCaption w:val="STATISTICAL SUMMARY FOR SCOTLAND AND INDIA AGGREGATE DATA"/>
      </w:tblPr>
      <w:tblGrid/>
      <w:tr>
        <w:tc>
          <w:p>
            <w:pPr>
              <w:pStyle w:val="Compact"/>
              <w:jc w:val="left"/>
            </w:pPr>
            <w:r>
              <w:t xml:space="preserve">Dataset</w:t>
            </w:r>
          </w:p>
        </w:tc>
        <w:tc>
          <w:p>
            <w:pPr>
              <w:pStyle w:val="Compact"/>
              <w:jc w:val="left"/>
            </w:pPr>
            <w:r>
              <w:t xml:space="preserve">Test</w:t>
            </w:r>
          </w:p>
        </w:tc>
        <w:tc>
          <w:p>
            <w:pPr>
              <w:pStyle w:val="Compact"/>
              <w:jc w:val="left"/>
            </w:pPr>
            <w:r>
              <w:t xml:space="preserve">Records</w:t>
            </w:r>
          </w:p>
        </w:tc>
        <w:tc>
          <w:p>
            <w:pPr>
              <w:pStyle w:val="Compact"/>
              <w:jc w:val="right"/>
            </w:pPr>
            <w:r>
              <w:t xml:space="preserve">MAD</w:t>
            </w:r>
          </w:p>
        </w:tc>
        <w:tc>
          <w:p>
            <w:pPr>
              <w:pStyle w:val="Compact"/>
              <w:jc w:val="right"/>
            </w:pPr>
            <w:r>
              <w:t xml:space="preserve">SSD</w:t>
            </w:r>
          </w:p>
        </w:tc>
        <w:tc>
          <w:p>
            <w:pPr>
              <w:pStyle w:val="Compact"/>
              <w:jc w:val="right"/>
            </w:pPr>
            <w:r>
              <w:t xml:space="preserve">Chi.squared</w:t>
            </w:r>
          </w:p>
        </w:tc>
        <w:tc>
          <w:p>
            <w:pPr>
              <w:pStyle w:val="Compact"/>
              <w:jc w:val="left"/>
            </w:pPr>
            <w:r>
              <w:t xml:space="preserve">overBenford</w:t>
            </w:r>
          </w:p>
        </w:tc>
        <w:tc>
          <w:p>
            <w:pPr>
              <w:pStyle w:val="Compact"/>
              <w:jc w:val="left"/>
            </w:pPr>
            <w:r>
              <w:t xml:space="preserve">BREG</w:t>
            </w:r>
          </w:p>
        </w:tc>
        <w:tc>
          <w:p>
            <w:pPr>
              <w:pStyle w:val="Compact"/>
              <w:jc w:val="left"/>
            </w:pPr>
            <w:r>
              <w:t xml:space="preserve">Kuiper</w:t>
            </w:r>
          </w:p>
        </w:tc>
      </w:tr>
      <w:tr>
        <w:tc>
          <w:p>
            <w:pPr>
              <w:pStyle w:val="Compact"/>
              <w:jc w:val="left"/>
            </w:pPr>
            <w:r>
              <w:t xml:space="preserve">Scotland confirmed</w:t>
            </w:r>
          </w:p>
        </w:tc>
        <w:tc>
          <w:p>
            <w:pPr>
              <w:pStyle w:val="Compact"/>
              <w:jc w:val="left"/>
            </w:pPr>
            <w:r>
              <w:t xml:space="preserve">First digit</w:t>
            </w:r>
          </w:p>
        </w:tc>
        <w:tc>
          <w:p>
            <w:pPr>
              <w:pStyle w:val="Compact"/>
              <w:jc w:val="left"/>
            </w:pPr>
            <w:r>
              <w:t xml:space="preserve">658</w:t>
            </w:r>
          </w:p>
        </w:tc>
        <w:tc>
          <w:p>
            <w:pPr>
              <w:pStyle w:val="Compact"/>
              <w:jc w:val="right"/>
            </w:pPr>
            <w:r>
              <w:t xml:space="preserve">0.016</w:t>
            </w:r>
          </w:p>
        </w:tc>
        <w:tc>
          <w:p>
            <w:pPr>
              <w:pStyle w:val="Compact"/>
              <w:jc w:val="right"/>
            </w:pPr>
            <w:r>
              <w:t xml:space="preserve">56.966</w:t>
            </w:r>
          </w:p>
        </w:tc>
        <w:tc>
          <w:p>
            <w:pPr>
              <w:pStyle w:val="Compact"/>
              <w:jc w:val="right"/>
            </w:pPr>
            <w:r>
              <w:t xml:space="preserve">24.629</w:t>
            </w:r>
          </w:p>
        </w:tc>
        <w:tc>
          <w:p>
            <w:pPr>
              <w:pStyle w:val="Compact"/>
              <w:jc w:val="left"/>
            </w:pPr>
            <w:r>
              <w:t xml:space="preserve">0 **</w:t>
            </w:r>
          </w:p>
        </w:tc>
        <w:tc>
          <w:p>
            <w:pPr>
              <w:pStyle w:val="Compact"/>
              <w:jc w:val="left"/>
            </w:pPr>
            <w:r>
              <w:t xml:space="preserve">Accepted</w:t>
            </w:r>
          </w:p>
        </w:tc>
        <w:tc>
          <w:p>
            <w:pPr>
              <w:pStyle w:val="Compact"/>
              <w:jc w:val="left"/>
            </w:pPr>
            <w:r>
              <w:t xml:space="preserve">0.3</w:t>
            </w:r>
          </w:p>
        </w:tc>
      </w:tr>
      <w:tr>
        <w:tc>
          <w:p/>
        </w:tc>
        <w:tc>
          <w:p>
            <w:pPr>
              <w:pStyle w:val="Compact"/>
              <w:jc w:val="left"/>
            </w:pPr>
            <w:r>
              <w:t xml:space="preserve">First-Two digits</w:t>
            </w:r>
          </w:p>
        </w:tc>
        <w:tc>
          <w:p>
            <w:pPr>
              <w:pStyle w:val="Compact"/>
              <w:jc w:val="left"/>
            </w:pPr>
            <w:r>
              <w:t xml:space="preserve">630</w:t>
            </w:r>
          </w:p>
        </w:tc>
        <w:tc>
          <w:p>
            <w:pPr>
              <w:pStyle w:val="Compact"/>
              <w:jc w:val="right"/>
            </w:pPr>
            <w:r>
              <w:t xml:space="preserve">0.003</w:t>
            </w:r>
          </w:p>
        </w:tc>
        <w:tc>
          <w:p>
            <w:pPr>
              <w:pStyle w:val="Compact"/>
              <w:jc w:val="right"/>
            </w:pPr>
            <w:r>
              <w:t xml:space="preserve">19.066</w:t>
            </w:r>
          </w:p>
        </w:tc>
        <w:tc>
          <w:p>
            <w:pPr>
              <w:pStyle w:val="Compact"/>
              <w:jc w:val="right"/>
            </w:pPr>
            <w:r>
              <w:t xml:space="preserve">101.993</w:t>
            </w:r>
          </w:p>
        </w:tc>
        <w:tc>
          <w:p>
            <w:pPr>
              <w:pStyle w:val="Compact"/>
              <w:jc w:val="left"/>
            </w:pPr>
            <w:r>
              <w:t xml:space="preserve">0.065</w:t>
            </w:r>
          </w:p>
        </w:tc>
        <w:tc>
          <w:p>
            <w:pPr>
              <w:pStyle w:val="Compact"/>
              <w:jc w:val="left"/>
            </w:pPr>
            <w:r>
              <w:t xml:space="preserve">Accepted</w:t>
            </w:r>
          </w:p>
        </w:tc>
        <w:tc>
          <w:p>
            <w:pPr>
              <w:pStyle w:val="Compact"/>
              <w:jc w:val="left"/>
            </w:pPr>
            <w:r>
              <w:t xml:space="preserve">0.365</w:t>
            </w:r>
          </w:p>
        </w:tc>
      </w:tr>
      <w:tr>
        <w:tc>
          <w:p>
            <w:pPr>
              <w:pStyle w:val="Compact"/>
              <w:jc w:val="left"/>
            </w:pPr>
            <w:r>
              <w:t xml:space="preserve">Scotland deaths</w:t>
            </w:r>
          </w:p>
        </w:tc>
        <w:tc>
          <w:p>
            <w:pPr>
              <w:pStyle w:val="Compact"/>
              <w:jc w:val="left"/>
            </w:pPr>
            <w:r>
              <w:t xml:space="preserve">First digit</w:t>
            </w:r>
          </w:p>
        </w:tc>
        <w:tc>
          <w:p>
            <w:pPr>
              <w:pStyle w:val="Compact"/>
              <w:jc w:val="left"/>
            </w:pPr>
            <w:r>
              <w:t xml:space="preserve">2,603</w:t>
            </w:r>
          </w:p>
        </w:tc>
        <w:tc>
          <w:p>
            <w:pPr>
              <w:pStyle w:val="Compact"/>
              <w:jc w:val="right"/>
            </w:pPr>
            <w:r>
              <w:t xml:space="preserve">0.017</w:t>
            </w:r>
          </w:p>
        </w:tc>
        <w:tc>
          <w:p>
            <w:pPr>
              <w:pStyle w:val="Compact"/>
              <w:jc w:val="right"/>
            </w:pPr>
            <w:r>
              <w:t xml:space="preserve">59.453</w:t>
            </w:r>
          </w:p>
        </w:tc>
        <w:tc>
          <w:p>
            <w:pPr>
              <w:pStyle w:val="Compact"/>
              <w:jc w:val="right"/>
            </w:pPr>
            <w:r>
              <w:t xml:space="preserve">91.184</w:t>
            </w:r>
          </w:p>
        </w:tc>
        <w:tc>
          <w:p>
            <w:pPr>
              <w:pStyle w:val="Compact"/>
              <w:jc w:val="left"/>
            </w:pPr>
            <w:r>
              <w:t xml:space="preserve">0 **</w:t>
            </w:r>
          </w:p>
        </w:tc>
        <w:tc>
          <w:p>
            <w:pPr>
              <w:pStyle w:val="Compact"/>
              <w:jc w:val="left"/>
            </w:pPr>
            <w:r>
              <w:t xml:space="preserve">Rejected</w:t>
            </w:r>
          </w:p>
        </w:tc>
        <w:tc>
          <w:p>
            <w:pPr>
              <w:pStyle w:val="Compact"/>
              <w:jc w:val="left"/>
            </w:pPr>
            <w:r>
              <w:t xml:space="preserve">0 **</w:t>
            </w:r>
          </w:p>
        </w:tc>
      </w:tr>
      <w:tr>
        <w:tc>
          <w:p/>
        </w:tc>
        <w:tc>
          <w:p>
            <w:pPr>
              <w:pStyle w:val="Compact"/>
              <w:jc w:val="left"/>
            </w:pPr>
            <w:r>
              <w:t xml:space="preserve">First-Two digits</w:t>
            </w:r>
          </w:p>
        </w:tc>
        <w:tc>
          <w:p>
            <w:pPr>
              <w:pStyle w:val="Compact"/>
              <w:jc w:val="left"/>
            </w:pPr>
            <w:r>
              <w:t xml:space="preserve">684</w:t>
            </w:r>
          </w:p>
        </w:tc>
        <w:tc>
          <w:p>
            <w:pPr>
              <w:pStyle w:val="Compact"/>
              <w:jc w:val="right"/>
            </w:pPr>
            <w:r>
              <w:t xml:space="preserve">0.007</w:t>
            </w:r>
          </w:p>
        </w:tc>
        <w:tc>
          <w:p>
            <w:pPr>
              <w:pStyle w:val="Compact"/>
              <w:jc w:val="right"/>
            </w:pPr>
            <w:r>
              <w:t xml:space="preserve">103.146</w:t>
            </w:r>
          </w:p>
        </w:tc>
        <w:tc>
          <w:p>
            <w:pPr>
              <w:pStyle w:val="Compact"/>
              <w:jc w:val="right"/>
            </w:pPr>
            <w:r>
              <w:t xml:space="preserve">339.785</w:t>
            </w:r>
          </w:p>
        </w:tc>
        <w:tc>
          <w:p>
            <w:pPr>
              <w:pStyle w:val="Compact"/>
              <w:jc w:val="left"/>
            </w:pPr>
            <w:r>
              <w:t xml:space="preserve">0 **</w:t>
            </w:r>
          </w:p>
        </w:tc>
        <w:tc>
          <w:p>
            <w:pPr>
              <w:pStyle w:val="Compact"/>
              <w:jc w:val="left"/>
            </w:pPr>
            <w:r>
              <w:t xml:space="preserve">Rejected</w:t>
            </w:r>
          </w:p>
        </w:tc>
        <w:tc>
          <w:p>
            <w:pPr>
              <w:pStyle w:val="Compact"/>
              <w:jc w:val="left"/>
            </w:pPr>
            <w:r>
              <w:t xml:space="preserve">0 **</w:t>
            </w:r>
          </w:p>
        </w:tc>
      </w:tr>
      <w:tr>
        <w:tc>
          <w:p>
            <w:pPr>
              <w:pStyle w:val="Compact"/>
              <w:jc w:val="left"/>
            </w:pPr>
            <w:r>
              <w:t xml:space="preserve">India confirmed</w:t>
            </w:r>
          </w:p>
        </w:tc>
        <w:tc>
          <w:p>
            <w:pPr>
              <w:pStyle w:val="Compact"/>
              <w:jc w:val="left"/>
            </w:pPr>
            <w:r>
              <w:t xml:space="preserve">First digit</w:t>
            </w:r>
          </w:p>
        </w:tc>
        <w:tc>
          <w:p>
            <w:pPr>
              <w:pStyle w:val="Compact"/>
              <w:jc w:val="left"/>
            </w:pPr>
            <w:r>
              <w:t xml:space="preserve">16,496</w:t>
            </w:r>
          </w:p>
        </w:tc>
        <w:tc>
          <w:p>
            <w:pPr>
              <w:pStyle w:val="Compact"/>
              <w:jc w:val="right"/>
            </w:pPr>
            <w:r>
              <w:t xml:space="preserve">0.005</w:t>
            </w:r>
          </w:p>
        </w:tc>
        <w:tc>
          <w:p>
            <w:pPr>
              <w:pStyle w:val="Compact"/>
              <w:jc w:val="right"/>
            </w:pPr>
            <w:r>
              <w:t xml:space="preserve">2.394</w:t>
            </w:r>
          </w:p>
        </w:tc>
        <w:tc>
          <w:p>
            <w:pPr>
              <w:pStyle w:val="Compact"/>
              <w:jc w:val="right"/>
            </w:pPr>
            <w:r>
              <w:t xml:space="preserve">36.176</w:t>
            </w:r>
          </w:p>
        </w:tc>
        <w:tc>
          <w:p>
            <w:pPr>
              <w:pStyle w:val="Compact"/>
              <w:jc w:val="left"/>
            </w:pPr>
            <w:r>
              <w:t xml:space="preserve">0 **</w:t>
            </w:r>
          </w:p>
        </w:tc>
        <w:tc>
          <w:p>
            <w:pPr>
              <w:pStyle w:val="Compact"/>
              <w:jc w:val="left"/>
            </w:pPr>
            <w:r>
              <w:t xml:space="preserve">Rejected</w:t>
            </w:r>
          </w:p>
        </w:tc>
        <w:tc>
          <w:p>
            <w:pPr>
              <w:pStyle w:val="Compact"/>
              <w:jc w:val="left"/>
            </w:pPr>
            <w:r>
              <w:t xml:space="preserve">0.275</w:t>
            </w:r>
          </w:p>
        </w:tc>
      </w:tr>
      <w:tr>
        <w:tc>
          <w:p/>
        </w:tc>
        <w:tc>
          <w:p>
            <w:pPr>
              <w:pStyle w:val="Compact"/>
              <w:jc w:val="left"/>
            </w:pPr>
            <w:r>
              <w:t xml:space="preserve">First-Two digits</w:t>
            </w:r>
          </w:p>
        </w:tc>
        <w:tc>
          <w:p>
            <w:pPr>
              <w:pStyle w:val="Compact"/>
              <w:jc w:val="left"/>
            </w:pPr>
            <w:r>
              <w:t xml:space="preserve">14,707</w:t>
            </w:r>
          </w:p>
        </w:tc>
        <w:tc>
          <w:p>
            <w:pPr>
              <w:pStyle w:val="Compact"/>
              <w:jc w:val="right"/>
            </w:pPr>
            <w:r>
              <w:t xml:space="preserve">0.001</w:t>
            </w:r>
          </w:p>
        </w:tc>
        <w:tc>
          <w:p>
            <w:pPr>
              <w:pStyle w:val="Compact"/>
              <w:jc w:val="right"/>
            </w:pPr>
            <w:r>
              <w:t xml:space="preserve">1.510</w:t>
            </w:r>
          </w:p>
        </w:tc>
        <w:tc>
          <w:p>
            <w:pPr>
              <w:pStyle w:val="Compact"/>
              <w:jc w:val="right"/>
            </w:pPr>
            <w:r>
              <w:t xml:space="preserve">182.495</w:t>
            </w:r>
          </w:p>
        </w:tc>
        <w:tc>
          <w:p>
            <w:pPr>
              <w:pStyle w:val="Compact"/>
              <w:jc w:val="left"/>
            </w:pPr>
            <w:r>
              <w:t xml:space="preserve">0 **</w:t>
            </w:r>
          </w:p>
        </w:tc>
        <w:tc>
          <w:p>
            <w:pPr>
              <w:pStyle w:val="Compact"/>
              <w:jc w:val="left"/>
            </w:pPr>
            <w:r>
              <w:t xml:space="preserve">Accepted</w:t>
            </w:r>
          </w:p>
        </w:tc>
        <w:tc>
          <w:p>
            <w:pPr>
              <w:pStyle w:val="Compact"/>
              <w:jc w:val="left"/>
            </w:pPr>
            <w:r>
              <w:t xml:space="preserve">0.005 **</w:t>
            </w:r>
          </w:p>
        </w:tc>
      </w:tr>
      <w:tr>
        <w:tc>
          <w:p>
            <w:pPr>
              <w:pStyle w:val="Compact"/>
              <w:jc w:val="left"/>
            </w:pPr>
            <w:r>
              <w:t xml:space="preserve">India deaths</w:t>
            </w:r>
          </w:p>
        </w:tc>
        <w:tc>
          <w:p>
            <w:pPr>
              <w:pStyle w:val="Compact"/>
              <w:jc w:val="left"/>
            </w:pPr>
            <w:r>
              <w:t xml:space="preserve">First digit</w:t>
            </w:r>
          </w:p>
        </w:tc>
        <w:tc>
          <w:p>
            <w:pPr>
              <w:pStyle w:val="Compact"/>
              <w:jc w:val="left"/>
            </w:pPr>
            <w:r>
              <w:t xml:space="preserve">11,753</w:t>
            </w:r>
          </w:p>
        </w:tc>
        <w:tc>
          <w:p>
            <w:pPr>
              <w:pStyle w:val="Compact"/>
              <w:jc w:val="right"/>
            </w:pPr>
            <w:r>
              <w:t xml:space="preserve">0.016</w:t>
            </w:r>
          </w:p>
        </w:tc>
        <w:tc>
          <w:p>
            <w:pPr>
              <w:pStyle w:val="Compact"/>
              <w:jc w:val="right"/>
            </w:pPr>
            <w:r>
              <w:t xml:space="preserve">54.852</w:t>
            </w:r>
          </w:p>
        </w:tc>
        <w:tc>
          <w:p>
            <w:pPr>
              <w:pStyle w:val="Compact"/>
              <w:jc w:val="right"/>
            </w:pPr>
            <w:r>
              <w:t xml:space="preserve">305.447</w:t>
            </w:r>
          </w:p>
        </w:tc>
        <w:tc>
          <w:p>
            <w:pPr>
              <w:pStyle w:val="Compact"/>
              <w:jc w:val="left"/>
            </w:pPr>
            <w:r>
              <w:t xml:space="preserve">0 **</w:t>
            </w:r>
          </w:p>
        </w:tc>
        <w:tc>
          <w:p>
            <w:pPr>
              <w:pStyle w:val="Compact"/>
              <w:jc w:val="left"/>
            </w:pPr>
            <w:r>
              <w:t xml:space="preserve">Rejected</w:t>
            </w:r>
          </w:p>
        </w:tc>
        <w:tc>
          <w:p>
            <w:pPr>
              <w:pStyle w:val="Compact"/>
              <w:jc w:val="left"/>
            </w:pPr>
            <w:r>
              <w:t xml:space="preserve">0 **</w:t>
            </w:r>
          </w:p>
        </w:tc>
      </w:tr>
      <w:tr>
        <w:tc>
          <w:p/>
        </w:tc>
        <w:tc>
          <w:p>
            <w:pPr>
              <w:pStyle w:val="Compact"/>
              <w:jc w:val="left"/>
            </w:pPr>
            <w:r>
              <w:t xml:space="preserve">First-Two digits</w:t>
            </w:r>
          </w:p>
        </w:tc>
        <w:tc>
          <w:p>
            <w:pPr>
              <w:pStyle w:val="Compact"/>
              <w:jc w:val="left"/>
            </w:pPr>
            <w:r>
              <w:t xml:space="preserve">5,623</w:t>
            </w:r>
          </w:p>
        </w:tc>
        <w:tc>
          <w:p>
            <w:pPr>
              <w:pStyle w:val="Compact"/>
              <w:jc w:val="right"/>
            </w:pPr>
            <w:r>
              <w:t xml:space="preserve">0.004</w:t>
            </w:r>
          </w:p>
        </w:tc>
        <w:tc>
          <w:p>
            <w:pPr>
              <w:pStyle w:val="Compact"/>
              <w:jc w:val="right"/>
            </w:pPr>
            <w:r>
              <w:t xml:space="preserve">38.146</w:t>
            </w:r>
          </w:p>
        </w:tc>
        <w:tc>
          <w:p>
            <w:pPr>
              <w:pStyle w:val="Compact"/>
              <w:jc w:val="right"/>
            </w:pPr>
            <w:r>
              <w:t xml:space="preserve">902.345</w:t>
            </w:r>
          </w:p>
        </w:tc>
        <w:tc>
          <w:p>
            <w:pPr>
              <w:pStyle w:val="Compact"/>
              <w:jc w:val="left"/>
            </w:pPr>
            <w:r>
              <w:t xml:space="preserve">0 **</w:t>
            </w:r>
          </w:p>
        </w:tc>
        <w:tc>
          <w:p>
            <w:pPr>
              <w:pStyle w:val="Compact"/>
              <w:jc w:val="left"/>
            </w:pPr>
            <w:r>
              <w:t xml:space="preserve">Rejected</w:t>
            </w:r>
          </w:p>
        </w:tc>
        <w:tc>
          <w:p>
            <w:pPr>
              <w:pStyle w:val="Compact"/>
              <w:jc w:val="left"/>
            </w:pPr>
            <w:r>
              <w:t xml:space="preserve">0 **</w:t>
            </w:r>
          </w:p>
        </w:tc>
      </w:tr>
      <w:tr>
        <w:tc>
          <w:p>
            <w:pPr>
              <w:pStyle w:val="Compact"/>
              <w:jc w:val="left"/>
            </w:pPr>
            <w:r>
              <w:t xml:space="preserve">India recovered</w:t>
            </w:r>
          </w:p>
        </w:tc>
        <w:tc>
          <w:p>
            <w:pPr>
              <w:pStyle w:val="Compact"/>
              <w:jc w:val="left"/>
            </w:pPr>
            <w:r>
              <w:t xml:space="preserve">First digit</w:t>
            </w:r>
          </w:p>
        </w:tc>
        <w:tc>
          <w:p>
            <w:pPr>
              <w:pStyle w:val="Compact"/>
              <w:jc w:val="left"/>
            </w:pPr>
            <w:r>
              <w:t xml:space="preserve">15,902</w:t>
            </w:r>
          </w:p>
        </w:tc>
        <w:tc>
          <w:p>
            <w:pPr>
              <w:pStyle w:val="Compact"/>
              <w:jc w:val="right"/>
            </w:pPr>
            <w:r>
              <w:t xml:space="preserve">0.005</w:t>
            </w:r>
          </w:p>
        </w:tc>
        <w:tc>
          <w:p>
            <w:pPr>
              <w:pStyle w:val="Compact"/>
              <w:jc w:val="right"/>
            </w:pPr>
            <w:r>
              <w:t xml:space="preserve">2.852</w:t>
            </w:r>
          </w:p>
        </w:tc>
        <w:tc>
          <w:p>
            <w:pPr>
              <w:pStyle w:val="Compact"/>
              <w:jc w:val="right"/>
            </w:pPr>
            <w:r>
              <w:t xml:space="preserve">36.874</w:t>
            </w:r>
          </w:p>
        </w:tc>
        <w:tc>
          <w:p>
            <w:pPr>
              <w:pStyle w:val="Compact"/>
              <w:jc w:val="left"/>
            </w:pPr>
            <w:r>
              <w:t xml:space="preserve">0 **</w:t>
            </w:r>
          </w:p>
        </w:tc>
        <w:tc>
          <w:p>
            <w:pPr>
              <w:pStyle w:val="Compact"/>
              <w:jc w:val="left"/>
            </w:pPr>
            <w:r>
              <w:t xml:space="preserve">Rejected</w:t>
            </w:r>
          </w:p>
        </w:tc>
        <w:tc>
          <w:p>
            <w:pPr>
              <w:pStyle w:val="Compact"/>
              <w:jc w:val="left"/>
            </w:pPr>
            <w:r>
              <w:t xml:space="preserve">0.165</w:t>
            </w:r>
          </w:p>
        </w:tc>
      </w:tr>
      <w:tr>
        <w:tc>
          <w:p/>
        </w:tc>
        <w:tc>
          <w:p>
            <w:pPr>
              <w:pStyle w:val="Compact"/>
              <w:jc w:val="left"/>
            </w:pPr>
            <w:r>
              <w:t xml:space="preserve">First-Two digits</w:t>
            </w:r>
          </w:p>
        </w:tc>
        <w:tc>
          <w:p>
            <w:pPr>
              <w:pStyle w:val="Compact"/>
              <w:jc w:val="left"/>
            </w:pPr>
            <w:r>
              <w:t xml:space="preserve">14,221</w:t>
            </w:r>
          </w:p>
        </w:tc>
        <w:tc>
          <w:p>
            <w:pPr>
              <w:pStyle w:val="Compact"/>
              <w:jc w:val="right"/>
            </w:pPr>
            <w:r>
              <w:t xml:space="preserve">0.001</w:t>
            </w:r>
          </w:p>
        </w:tc>
        <w:tc>
          <w:p>
            <w:pPr>
              <w:pStyle w:val="Compact"/>
              <w:jc w:val="right"/>
            </w:pPr>
            <w:r>
              <w:t xml:space="preserve">1.854</w:t>
            </w:r>
          </w:p>
        </w:tc>
        <w:tc>
          <w:p>
            <w:pPr>
              <w:pStyle w:val="Compact"/>
              <w:jc w:val="right"/>
            </w:pPr>
            <w:r>
              <w:t xml:space="preserve">184.672</w:t>
            </w:r>
          </w:p>
        </w:tc>
        <w:tc>
          <w:p>
            <w:pPr>
              <w:pStyle w:val="Compact"/>
              <w:jc w:val="left"/>
            </w:pPr>
            <w:r>
              <w:t xml:space="preserve">0 **</w:t>
            </w:r>
          </w:p>
        </w:tc>
        <w:tc>
          <w:p>
            <w:pPr>
              <w:pStyle w:val="Compact"/>
              <w:jc w:val="left"/>
            </w:pPr>
            <w:r>
              <w:t xml:space="preserve">Rejected</w:t>
            </w:r>
          </w:p>
        </w:tc>
        <w:tc>
          <w:p>
            <w:pPr>
              <w:pStyle w:val="Compact"/>
              <w:jc w:val="left"/>
            </w:pPr>
            <w:r>
              <w:t xml:space="preserve">0.005 **</w:t>
            </w:r>
          </w:p>
        </w:tc>
      </w:tr>
    </w:tbl>
    <w:bookmarkEnd w:id="24"/>
    <w:bookmarkStart w:id="25" w:name="conclusion"/>
    <w:p>
      <w:pPr>
        <w:pStyle w:val="Heading2"/>
      </w:pPr>
      <w:r>
        <w:t xml:space="preserve">Conclusion</w:t>
      </w:r>
    </w:p>
    <w:p>
      <w:pPr>
        <w:pStyle w:val="FirstParagraph"/>
      </w:pPr>
      <w:r>
        <w:t xml:space="preserve">By eye, these datasets are conformant with Benford’s Law, despite some of the calculated measures rejecting conformance.</w:t>
      </w:r>
    </w:p>
    <w:bookmarkEnd w:id="25"/>
    <w:bookmarkStart w:id="28" w:name="references"/>
    <w:p>
      <w:pPr>
        <w:pStyle w:val="Heading2"/>
      </w:pPr>
      <w:r>
        <w:t xml:space="preserve">References</w:t>
      </w:r>
    </w:p>
    <w:p>
      <w:pPr>
        <w:pStyle w:val="FirstParagraph"/>
      </w:pPr>
      <w:r>
        <w:t xml:space="preserve">Cinelli, C. (2019) benford.analysis: Tools that make it easier to use Benford’s law for data validation and forensic analytics., GitHub. Available at:</w:t>
      </w:r>
      <w:r>
        <w:t xml:space="preserve"> </w:t>
      </w:r>
      <w:hyperlink r:id="rId26">
        <w:r>
          <w:rPr>
            <w:rStyle w:val="Hyperlink"/>
          </w:rPr>
          <w:t xml:space="preserve">https://github.com/carloscinelli/benford.analysis</w:t>
        </w:r>
      </w:hyperlink>
      <w:r>
        <w:t xml:space="preserve"> </w:t>
      </w:r>
      <w:r>
        <w:t xml:space="preserve">(Accessed: 23 October 2021).</w:t>
      </w:r>
    </w:p>
    <w:p>
      <w:pPr>
        <w:pStyle w:val="BodyText"/>
      </w:pPr>
      <w:r>
        <w:t xml:space="preserve">Nigrini, M. (2012) Benford’s Law: Applications for Forensic Accounting, Auditing, and Fraud … - Mark J. Nigrini - Google Books. Available at:</w:t>
      </w:r>
      <w:r>
        <w:t xml:space="preserve"> </w:t>
      </w:r>
      <w:hyperlink r:id="rId27">
        <w:r>
          <w:rPr>
            <w:rStyle w:val="Hyperlink"/>
          </w:rPr>
          <w:t xml:space="preserve">https://books.google.co.uk/books?hl=en&amp;lr=&amp;id=Bh5Vr_I1NZoC&amp;oi=fnd&amp;pg=PP11&amp;ots=qcigiizrOi&amp;sig=Zyv0EV3snhVKH3yOC9z117ieSlI&amp;redir_esc=y#v=onepage&amp;q&amp;f=false</w:t>
        </w:r>
      </w:hyperlink>
      <w:r>
        <w:t xml:space="preserve"> </w:t>
      </w:r>
      <w:r>
        <w:t xml:space="preserve">(Accessed: 11 August 2021).</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https://books.google.co.uk/books?hl=en&amp;lr=&amp;id=Bh5Vr_I1NZoC&amp;oi=fnd&amp;pg=PP11&amp;ots=qcigiizrOi&amp;sig=Zyv0EV3snhVKH3yOC9z117ieSlI&amp;redir_esc=y#v=onepage&amp;q&amp;f=false" TargetMode="External" /><Relationship Type="http://schemas.openxmlformats.org/officeDocument/2006/relationships/hyperlink" Id="rId26" Target="https://github.com/carloscinelli/benford.analysis" TargetMode="External" /></Relationships>
</file>

<file path=word/_rels/footnotes.xml.rels><?xml version="1.0" encoding="UTF-8"?><Relationships xmlns="http://schemas.openxmlformats.org/package/2006/relationships"><Relationship Type="http://schemas.openxmlformats.org/officeDocument/2006/relationships/hyperlink" Id="rId27" Target="https://books.google.co.uk/books?hl=en&amp;lr=&amp;id=Bh5Vr_I1NZoC&amp;oi=fnd&amp;pg=PP11&amp;ots=qcigiizrOi&amp;sig=Zyv0EV3snhVKH3yOC9z117ieSlI&amp;redir_esc=y#v=onepage&amp;q&amp;f=false" TargetMode="External" /><Relationship Type="http://schemas.openxmlformats.org/officeDocument/2006/relationships/hyperlink" Id="rId26" Target="https://github.com/carloscinelli/benford.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Benford’s Project</dc:title>
  <dc:creator>Edward Stansfeld</dc:creator>
  <cp:keywords/>
  <dcterms:created xsi:type="dcterms:W3CDTF">2022-01-16T09:29:26Z</dcterms:created>
  <dcterms:modified xsi:type="dcterms:W3CDTF">2022-01-16T09:29:26Z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2022</vt:lpwstr>
  </property>
  <property fmtid="{D5CDD505-2E9C-101B-9397-08002B2CF9AE}" pid="3" name="output">
    <vt:lpwstr>word_document</vt:lpwstr>
  </property>
  <property fmtid="{D5CDD505-2E9C-101B-9397-08002B2CF9AE}" pid="4" name="subtitle">
    <vt:lpwstr>Figs 5,6,8,9,10: Summary Charts</vt:lpwstr>
  </property>
</Properties>
</file>